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A61DC" w14:textId="49B09448" w:rsidR="00144E3E" w:rsidRDefault="00944B2E" w:rsidP="00875C18">
      <w:pPr>
        <w:pStyle w:val="TitoloDocumento"/>
        <w:tabs>
          <w:tab w:val="left" w:pos="3036"/>
        </w:tabs>
        <w:ind w:right="566"/>
        <w:rPr>
          <w:sz w:val="60"/>
          <w:szCs w:val="60"/>
        </w:rPr>
      </w:pPr>
      <w:r w:rsidRPr="002050D7">
        <w:rPr>
          <w:bCs/>
          <w:caps/>
          <w:noProof/>
          <w:lang w:eastAsia="it-IT"/>
        </w:rPr>
        <w:drawing>
          <wp:anchor distT="0" distB="0" distL="114300" distR="114300" simplePos="0" relativeHeight="251661312" behindDoc="1" locked="0" layoutInCell="1" allowOverlap="1" wp14:anchorId="629DCAF1" wp14:editId="4F5271F7">
            <wp:simplePos x="0" y="0"/>
            <wp:positionH relativeFrom="column">
              <wp:posOffset>-804545</wp:posOffset>
            </wp:positionH>
            <wp:positionV relativeFrom="paragraph">
              <wp:posOffset>520700</wp:posOffset>
            </wp:positionV>
            <wp:extent cx="6974205" cy="797433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4205" cy="7974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00C2">
        <w:rPr>
          <w:noProof/>
          <w:sz w:val="48"/>
          <w:szCs w:val="48"/>
          <w:lang w:eastAsia="it-IT"/>
        </w:rPr>
        <mc:AlternateContent>
          <mc:Choice Requires="wps">
            <w:drawing>
              <wp:anchor distT="0" distB="0" distL="114300" distR="114300" simplePos="0" relativeHeight="251660287" behindDoc="1" locked="0" layoutInCell="1" allowOverlap="1" wp14:anchorId="00D53DD3" wp14:editId="396E1D33">
                <wp:simplePos x="0" y="0"/>
                <wp:positionH relativeFrom="column">
                  <wp:posOffset>-801370</wp:posOffset>
                </wp:positionH>
                <wp:positionV relativeFrom="paragraph">
                  <wp:posOffset>-476250</wp:posOffset>
                </wp:positionV>
                <wp:extent cx="2484000" cy="1020445"/>
                <wp:effectExtent l="0" t="0" r="0" b="8255"/>
                <wp:wrapNone/>
                <wp:docPr id="3" name="Rettangolo 3"/>
                <wp:cNvGraphicFramePr/>
                <a:graphic xmlns:a="http://schemas.openxmlformats.org/drawingml/2006/main">
                  <a:graphicData uri="http://schemas.microsoft.com/office/word/2010/wordprocessingShape">
                    <wps:wsp>
                      <wps:cNvSpPr/>
                      <wps:spPr>
                        <a:xfrm flipH="1">
                          <a:off x="0" y="0"/>
                          <a:ext cx="2484000" cy="1020445"/>
                        </a:xfrm>
                        <a:prstGeom prst="rect">
                          <a:avLst/>
                        </a:prstGeom>
                        <a:solidFill>
                          <a:schemeClr val="tx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84994" id="Rettangolo 3" o:spid="_x0000_s1026" style="position:absolute;margin-left:-63.1pt;margin-top:-37.5pt;width:195.6pt;height:80.35pt;flip:x;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" fillcolor="black [3213]" stroked="f" strokeweight="1pt">
                <v:fill opacity="13107f"/>
              </v:rect>
            </w:pict>
          </mc:Fallback>
        </mc:AlternateContent>
      </w:r>
      <w:r w:rsidR="00B96B24">
        <w:rPr>
          <w:noProof/>
          <w:sz w:val="48"/>
          <w:szCs w:val="48"/>
          <w:lang w:eastAsia="it-IT"/>
        </w:rPr>
        <mc:AlternateContent>
          <mc:Choice Requires="wps">
            <w:drawing>
              <wp:anchor distT="0" distB="0" distL="114300" distR="114300" simplePos="0" relativeHeight="251666432" behindDoc="0" locked="0" layoutInCell="1" allowOverlap="1" wp14:anchorId="2597E190" wp14:editId="59525C55">
                <wp:simplePos x="0" y="0"/>
                <wp:positionH relativeFrom="column">
                  <wp:posOffset>-78064</wp:posOffset>
                </wp:positionH>
                <wp:positionV relativeFrom="page">
                  <wp:posOffset>2149475</wp:posOffset>
                </wp:positionV>
                <wp:extent cx="903605" cy="262800"/>
                <wp:effectExtent l="0" t="0" r="0" b="4445"/>
                <wp:wrapNone/>
                <wp:docPr id="6" name="Casella di testo 6"/>
                <wp:cNvGraphicFramePr/>
                <a:graphic xmlns:a="http://schemas.openxmlformats.org/drawingml/2006/main">
                  <a:graphicData uri="http://schemas.microsoft.com/office/word/2010/wordprocessingShape">
                    <wps:wsp>
                      <wps:cNvSpPr txBox="1"/>
                      <wps:spPr>
                        <a:xfrm>
                          <a:off x="0" y="0"/>
                          <a:ext cx="903605" cy="262800"/>
                        </a:xfrm>
                        <a:prstGeom prst="rect">
                          <a:avLst/>
                        </a:prstGeom>
                        <a:solidFill>
                          <a:schemeClr val="bg1"/>
                        </a:solidFill>
                        <a:ln w="6350">
                          <a:noFill/>
                        </a:ln>
                      </wps:spPr>
                      <wps:txbx>
                        <w:txbxContent>
                          <w:p w14:paraId="4E48C4C8" w14:textId="5D5F47D2" w:rsidR="009D4EA8" w:rsidRPr="00EE3C78" w:rsidRDefault="00EE3C78" w:rsidP="00B96B24">
                            <w:pPr>
                              <w:pStyle w:val="TipoDocumento"/>
                            </w:pPr>
                            <w:r>
                              <w:t>documento</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97E190" id="_x0000_t202" coordsize="21600,21600" o:spt="202" path="m,l,21600r21600,l21600,xe">
                <v:stroke joinstyle="miter"/>
                <v:path gradientshapeok="t" o:connecttype="rect"/>
              </v:shapetype>
              <v:shape id="Casella di testo 6" o:spid="_x0000_s1026" type="#_x0000_t202" style="position:absolute;left:0;text-align:left;margin-left:-6.15pt;margin-top:169.25pt;width:71.15pt;height:20.7pt;z-index:25166643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" fillcolor="white [3212]" stroked="f" strokeweight=".5pt">
                <v:textbox>
                  <w:txbxContent>
                    <w:p w14:paraId="4E48C4C8" w14:textId="5D5F47D2" w:rsidR="009D4EA8" w:rsidRPr="00EE3C78" w:rsidRDefault="00EE3C78" w:rsidP="00B96B24">
                      <w:pPr>
                        <w:pStyle w:val="TipoDocumento"/>
                      </w:pPr>
                      <w:r>
                        <w:t>documento</w:t>
                      </w:r>
                    </w:p>
                  </w:txbxContent>
                </v:textbox>
                <w10:wrap anchory="page"/>
              </v:shape>
            </w:pict>
          </mc:Fallback>
        </mc:AlternateContent>
      </w:r>
      <w:r w:rsidR="009D4EA8">
        <w:rPr>
          <w:noProof/>
          <w:sz w:val="48"/>
          <w:szCs w:val="48"/>
          <w:lang w:eastAsia="it-IT"/>
        </w:rPr>
        <mc:AlternateContent>
          <mc:Choice Requires="wps">
            <w:drawing>
              <wp:anchor distT="0" distB="0" distL="114300" distR="114300" simplePos="0" relativeHeight="251668480" behindDoc="0" locked="0" layoutInCell="1" allowOverlap="1" wp14:anchorId="6D7F1B5D" wp14:editId="30B94A90">
                <wp:simplePos x="0" y="0"/>
                <wp:positionH relativeFrom="column">
                  <wp:posOffset>-1780540</wp:posOffset>
                </wp:positionH>
                <wp:positionV relativeFrom="page">
                  <wp:posOffset>2147570</wp:posOffset>
                </wp:positionV>
                <wp:extent cx="1791970" cy="262800"/>
                <wp:effectExtent l="0" t="0" r="0" b="4445"/>
                <wp:wrapNone/>
                <wp:docPr id="9" name="Casella di testo 9"/>
                <wp:cNvGraphicFramePr/>
                <a:graphic xmlns:a="http://schemas.openxmlformats.org/drawingml/2006/main">
                  <a:graphicData uri="http://schemas.microsoft.com/office/word/2010/wordprocessingShape">
                    <wps:wsp>
                      <wps:cNvSpPr txBox="1"/>
                      <wps:spPr>
                        <a:xfrm>
                          <a:off x="0" y="0"/>
                          <a:ext cx="1791970" cy="262800"/>
                        </a:xfrm>
                        <a:prstGeom prst="rect">
                          <a:avLst/>
                        </a:prstGeom>
                        <a:solidFill>
                          <a:schemeClr val="bg1"/>
                        </a:solidFill>
                        <a:ln w="6350">
                          <a:noFill/>
                        </a:ln>
                      </wps:spPr>
                      <wps:txbx>
                        <w:txbxContent>
                          <w:p w14:paraId="176CBE1D" w14:textId="332D1C4B" w:rsidR="009D4EA8" w:rsidRPr="009D4EA8" w:rsidRDefault="009D4EA8" w:rsidP="009D4EA8">
                            <w:pPr>
                              <w:pStyle w:val="TipoDocumen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F1B5D" id="Casella di testo 9" o:spid="_x0000_s1027" type="#_x0000_t202" style="position:absolute;left:0;text-align:left;margin-left:-140.2pt;margin-top:169.1pt;width:141.1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" fillcolor="white [3212]" stroked="f" strokeweight=".5pt">
                <v:textbox>
                  <w:txbxContent>
                    <w:p w14:paraId="176CBE1D" w14:textId="332D1C4B" w:rsidR="009D4EA8" w:rsidRPr="009D4EA8" w:rsidRDefault="009D4EA8" w:rsidP="009D4EA8">
                      <w:pPr>
                        <w:pStyle w:val="TipoDocumento"/>
                      </w:pPr>
                    </w:p>
                  </w:txbxContent>
                </v:textbox>
                <w10:wrap anchory="page"/>
              </v:shape>
            </w:pict>
          </mc:Fallback>
        </mc:AlternateContent>
      </w:r>
      <w:r w:rsidR="009D4EA8">
        <w:rPr>
          <w:noProof/>
        </w:rPr>
        <w:softHyphen/>
      </w:r>
      <w:r w:rsidR="009D4EA8">
        <w:rPr>
          <w:noProof/>
        </w:rPr>
        <w:softHyphen/>
      </w:r>
      <w:r w:rsidR="009D4EA8">
        <w:rPr>
          <w:noProof/>
        </w:rPr>
        <w:softHyphen/>
      </w:r>
      <w:r w:rsidR="00875C18">
        <w:rPr>
          <w:noProof/>
        </w:rPr>
        <w:tab/>
      </w:r>
      <w:r w:rsidR="002050D7">
        <w:rPr>
          <w:sz w:val="48"/>
          <w:szCs w:val="48"/>
        </w:rPr>
        <w:br/>
      </w:r>
      <w:r w:rsidR="002050D7">
        <w:rPr>
          <w:sz w:val="48"/>
          <w:szCs w:val="48"/>
        </w:rPr>
        <w:br/>
      </w:r>
      <w:r w:rsidR="002050D7">
        <w:rPr>
          <w:sz w:val="48"/>
          <w:szCs w:val="48"/>
        </w:rPr>
        <w:br/>
      </w:r>
      <w:r w:rsidR="002050D7">
        <w:rPr>
          <w:sz w:val="48"/>
          <w:szCs w:val="48"/>
        </w:rPr>
        <w:br/>
      </w:r>
      <w:r w:rsidR="00886830">
        <w:rPr>
          <w:sz w:val="48"/>
          <w:szCs w:val="48"/>
        </w:rPr>
        <w:br/>
      </w:r>
    </w:p>
    <w:p w14:paraId="0EBF23AA" w14:textId="77777777" w:rsidR="00D47E57" w:rsidRDefault="00D47E57" w:rsidP="00875C18">
      <w:pPr>
        <w:pStyle w:val="TitoloDocumento"/>
        <w:tabs>
          <w:tab w:val="left" w:pos="3036"/>
        </w:tabs>
        <w:ind w:right="566"/>
        <w:rPr>
          <w:sz w:val="60"/>
          <w:szCs w:val="60"/>
        </w:rPr>
      </w:pPr>
    </w:p>
    <w:p w14:paraId="483A8DEF" w14:textId="413E3AA2" w:rsidR="009D4EA8" w:rsidRDefault="0050356C" w:rsidP="00180D69">
      <w:pPr>
        <w:pStyle w:val="TitoloDocumento"/>
        <w:ind w:right="566"/>
        <w:rPr>
          <w:sz w:val="52"/>
          <w:szCs w:val="52"/>
        </w:rPr>
      </w:pPr>
      <w:bookmarkStart w:id="0" w:name="_Hlk129181804"/>
      <w:r>
        <w:rPr>
          <w:sz w:val="52"/>
          <w:szCs w:val="52"/>
        </w:rPr>
        <w:t>PARERE</w:t>
      </w:r>
      <w:r w:rsidR="0045691F" w:rsidRPr="0045691F">
        <w:rPr>
          <w:sz w:val="52"/>
          <w:szCs w:val="52"/>
        </w:rPr>
        <w:t xml:space="preserve"> DELL’ORGANO DI REVISIONE SULLA PROPOSTA DI </w:t>
      </w:r>
      <w:r>
        <w:rPr>
          <w:sz w:val="52"/>
          <w:szCs w:val="52"/>
        </w:rPr>
        <w:t>BILANCIO DI PREVISIONE 202</w:t>
      </w:r>
      <w:r w:rsidR="00B97E58">
        <w:rPr>
          <w:sz w:val="52"/>
          <w:szCs w:val="52"/>
        </w:rPr>
        <w:t>5</w:t>
      </w:r>
      <w:r>
        <w:rPr>
          <w:sz w:val="52"/>
          <w:szCs w:val="52"/>
        </w:rPr>
        <w:t>-202</w:t>
      </w:r>
      <w:r w:rsidR="00B97E58">
        <w:rPr>
          <w:sz w:val="52"/>
          <w:szCs w:val="52"/>
        </w:rPr>
        <w:t>7</w:t>
      </w:r>
      <w:r>
        <w:rPr>
          <w:sz w:val="52"/>
          <w:szCs w:val="52"/>
        </w:rPr>
        <w:t xml:space="preserve"> </w:t>
      </w:r>
    </w:p>
    <w:p w14:paraId="5849CAA6" w14:textId="406ADDEE" w:rsidR="0050356C" w:rsidRDefault="0050356C" w:rsidP="0050356C">
      <w:pPr>
        <w:pStyle w:val="TitoloDocumento"/>
        <w:ind w:right="566"/>
        <w:rPr>
          <w:sz w:val="52"/>
          <w:szCs w:val="52"/>
        </w:rPr>
      </w:pPr>
      <w:r>
        <w:rPr>
          <w:sz w:val="52"/>
          <w:szCs w:val="52"/>
        </w:rPr>
        <w:t xml:space="preserve">CHECK LIST  - </w:t>
      </w:r>
      <w:r w:rsidRPr="00AB5522">
        <w:rPr>
          <w:sz w:val="60"/>
          <w:szCs w:val="60"/>
        </w:rPr>
        <w:t>nota integrativa</w:t>
      </w:r>
    </w:p>
    <w:p w14:paraId="381EEACD" w14:textId="77777777" w:rsidR="0050356C" w:rsidRPr="00BC749A" w:rsidRDefault="0050356C" w:rsidP="00180D69">
      <w:pPr>
        <w:pStyle w:val="TitoloDocumento"/>
        <w:ind w:right="566"/>
        <w:rPr>
          <w:sz w:val="52"/>
          <w:szCs w:val="52"/>
        </w:rPr>
      </w:pPr>
    </w:p>
    <w:bookmarkEnd w:id="0"/>
    <w:p w14:paraId="2F952FFA" w14:textId="284E4438" w:rsidR="00B96B24" w:rsidRDefault="00B96B24" w:rsidP="009D4EA8">
      <w:pPr>
        <w:autoSpaceDE w:val="0"/>
        <w:autoSpaceDN w:val="0"/>
        <w:adjustRightInd w:val="0"/>
        <w:spacing w:after="0" w:line="240" w:lineRule="auto"/>
        <w:rPr>
          <w:rFonts w:ascii="Calibri" w:eastAsia="Calibri" w:hAnsi="Calibri" w:cs="Calibri"/>
          <w:b/>
          <w:smallCaps/>
          <w:color w:val="FFFFFF" w:themeColor="background1"/>
          <w:sz w:val="72"/>
          <w:szCs w:val="72"/>
        </w:rPr>
      </w:pPr>
    </w:p>
    <w:p w14:paraId="411BD0C1" w14:textId="5D9BD7CE" w:rsidR="00281EF7" w:rsidRDefault="00D47E57">
      <w:r>
        <w:rPr>
          <w:rFonts w:ascii="Calibri" w:eastAsia="Calibri" w:hAnsi="Calibri" w:cs="Calibri"/>
          <w:b/>
          <w:smallCaps/>
          <w:noProof/>
          <w:color w:val="FFFFFF" w:themeColor="background1"/>
          <w:sz w:val="48"/>
          <w:szCs w:val="48"/>
          <w:lang w:eastAsia="it-IT"/>
        </w:rPr>
        <mc:AlternateContent>
          <mc:Choice Requires="wps">
            <w:drawing>
              <wp:anchor distT="0" distB="0" distL="114300" distR="114300" simplePos="0" relativeHeight="251670528" behindDoc="0" locked="0" layoutInCell="1" allowOverlap="1" wp14:anchorId="19658D3A" wp14:editId="0DCEE535">
                <wp:simplePos x="0" y="0"/>
                <wp:positionH relativeFrom="column">
                  <wp:posOffset>10795</wp:posOffset>
                </wp:positionH>
                <wp:positionV relativeFrom="paragraph">
                  <wp:posOffset>207645</wp:posOffset>
                </wp:positionV>
                <wp:extent cx="914400" cy="45719"/>
                <wp:effectExtent l="0" t="0" r="0" b="5715"/>
                <wp:wrapNone/>
                <wp:docPr id="10" name="Casella di testo 10"/>
                <wp:cNvGraphicFramePr/>
                <a:graphic xmlns:a="http://schemas.openxmlformats.org/drawingml/2006/main">
                  <a:graphicData uri="http://schemas.microsoft.com/office/word/2010/wordprocessingShape">
                    <wps:wsp>
                      <wps:cNvSpPr txBox="1"/>
                      <wps:spPr>
                        <a:xfrm>
                          <a:off x="0" y="0"/>
                          <a:ext cx="914400" cy="45719"/>
                        </a:xfrm>
                        <a:prstGeom prst="rect">
                          <a:avLst/>
                        </a:prstGeom>
                        <a:solidFill>
                          <a:schemeClr val="bg1"/>
                        </a:solidFill>
                        <a:ln w="6350">
                          <a:noFill/>
                        </a:ln>
                      </wps:spPr>
                      <wps:txbx>
                        <w:txbxContent>
                          <w:p w14:paraId="724F35F3" w14:textId="77777777" w:rsidR="00B96B24" w:rsidRPr="009D4EA8" w:rsidRDefault="00B96B24" w:rsidP="009D4EA8">
                            <w:pPr>
                              <w:pStyle w:val="Intestazione"/>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58D3A" id="Casella di testo 10" o:spid="_x0000_s1028" type="#_x0000_t202" style="position:absolute;left:0;text-align:left;margin-left:.85pt;margin-top:16.35pt;width:1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" fillcolor="white [3212]" stroked="f" strokeweight=".5pt">
                <v:textbox>
                  <w:txbxContent>
                    <w:p w14:paraId="724F35F3" w14:textId="77777777" w:rsidR="00B96B24" w:rsidRPr="009D4EA8" w:rsidRDefault="00B96B24" w:rsidP="009D4EA8">
                      <w:pPr>
                        <w:pStyle w:val="Intestazione"/>
                        <w:rPr>
                          <w:b/>
                          <w:bCs/>
                        </w:rPr>
                      </w:pPr>
                    </w:p>
                  </w:txbxContent>
                </v:textbox>
              </v:shape>
            </w:pict>
          </mc:Fallback>
        </mc:AlternateContent>
      </w:r>
      <w:r w:rsidR="00302409">
        <w:rPr>
          <w:noProof/>
          <w:lang w:eastAsia="it-IT"/>
        </w:rPr>
        <mc:AlternateContent>
          <mc:Choice Requires="wps">
            <w:drawing>
              <wp:anchor distT="0" distB="0" distL="114300" distR="114300" simplePos="0" relativeHeight="251686912" behindDoc="0" locked="0" layoutInCell="1" allowOverlap="1" wp14:anchorId="2D458220" wp14:editId="7ED6EC8F">
                <wp:simplePos x="0" y="0"/>
                <wp:positionH relativeFrom="column">
                  <wp:posOffset>2007870</wp:posOffset>
                </wp:positionH>
                <wp:positionV relativeFrom="page">
                  <wp:posOffset>7989570</wp:posOffset>
                </wp:positionV>
                <wp:extent cx="1836000" cy="233045"/>
                <wp:effectExtent l="0" t="0" r="0" b="0"/>
                <wp:wrapNone/>
                <wp:docPr id="303881397" name="Casella di testo 303881397"/>
                <wp:cNvGraphicFramePr/>
                <a:graphic xmlns:a="http://schemas.openxmlformats.org/drawingml/2006/main">
                  <a:graphicData uri="http://schemas.microsoft.com/office/word/2010/wordprocessingShape">
                    <wps:wsp>
                      <wps:cNvSpPr txBox="1"/>
                      <wps:spPr>
                        <a:xfrm>
                          <a:off x="0" y="0"/>
                          <a:ext cx="1836000" cy="233045"/>
                        </a:xfrm>
                        <a:prstGeom prst="rect">
                          <a:avLst/>
                        </a:prstGeom>
                        <a:solidFill>
                          <a:schemeClr val="bg1"/>
                        </a:solidFill>
                        <a:ln w="6350">
                          <a:noFill/>
                        </a:ln>
                      </wps:spPr>
                      <wps:txbx>
                        <w:txbxContent>
                          <w:p w14:paraId="43D0277E" w14:textId="3D5FD446" w:rsidR="00302409" w:rsidRPr="00B96B24" w:rsidRDefault="00875C18" w:rsidP="00944B2E">
                            <w:pPr>
                              <w:pStyle w:val="TipoDocumento"/>
                              <w:jc w:val="left"/>
                            </w:pPr>
                            <w:r>
                              <w:t>Consiglieri delegati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58220" id="Casella di testo 303881397" o:spid="_x0000_s1029" type="#_x0000_t202" style="position:absolute;left:0;text-align:left;margin-left:158.1pt;margin-top:629.1pt;width:144.55pt;height:1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" fillcolor="white [3212]" stroked="f" strokeweight=".5pt">
                <v:textbox>
                  <w:txbxContent>
                    <w:p w14:paraId="43D0277E" w14:textId="3D5FD446" w:rsidR="00302409" w:rsidRPr="00B96B24" w:rsidRDefault="00875C18" w:rsidP="00944B2E">
                      <w:pPr>
                        <w:pStyle w:val="TipoDocumento"/>
                        <w:jc w:val="left"/>
                      </w:pPr>
                      <w:r>
                        <w:t>Consiglieri delegati</w:t>
                      </w:r>
                    </w:p>
                  </w:txbxContent>
                </v:textbox>
                <w10:wrap anchory="page"/>
              </v:shape>
            </w:pict>
          </mc:Fallback>
        </mc:AlternateContent>
      </w:r>
      <w:r w:rsidR="00832D7E">
        <w:rPr>
          <w:noProof/>
          <w:lang w:eastAsia="it-IT"/>
        </w:rPr>
        <mc:AlternateContent>
          <mc:Choice Requires="wps">
            <w:drawing>
              <wp:anchor distT="0" distB="0" distL="114300" distR="114300" simplePos="0" relativeHeight="251678720" behindDoc="0" locked="0" layoutInCell="1" allowOverlap="1" wp14:anchorId="587D327D" wp14:editId="279AA623">
                <wp:simplePos x="0" y="0"/>
                <wp:positionH relativeFrom="column">
                  <wp:posOffset>4583430</wp:posOffset>
                </wp:positionH>
                <wp:positionV relativeFrom="page">
                  <wp:posOffset>9244965</wp:posOffset>
                </wp:positionV>
                <wp:extent cx="1680845" cy="347345"/>
                <wp:effectExtent l="0" t="0" r="0" b="0"/>
                <wp:wrapNone/>
                <wp:docPr id="20" name="Casella di testo 20"/>
                <wp:cNvGraphicFramePr/>
                <a:graphic xmlns:a="http://schemas.openxmlformats.org/drawingml/2006/main">
                  <a:graphicData uri="http://schemas.microsoft.com/office/word/2010/wordprocessingShape">
                    <wps:wsp>
                      <wps:cNvSpPr txBox="1"/>
                      <wps:spPr>
                        <a:xfrm>
                          <a:off x="0" y="0"/>
                          <a:ext cx="1680845" cy="347345"/>
                        </a:xfrm>
                        <a:prstGeom prst="rect">
                          <a:avLst/>
                        </a:prstGeom>
                        <a:solidFill>
                          <a:schemeClr val="bg1"/>
                        </a:solidFill>
                        <a:ln w="6350">
                          <a:noFill/>
                        </a:ln>
                      </wps:spPr>
                      <wps:txbx>
                        <w:txbxContent>
                          <w:p w14:paraId="6B83BF11" w14:textId="0551E0D9" w:rsidR="00832D7E" w:rsidRPr="00B96B24" w:rsidRDefault="00562F69" w:rsidP="00832D7E">
                            <w:pPr>
                              <w:pStyle w:val="TipoDocumento"/>
                              <w:jc w:val="right"/>
                            </w:pPr>
                            <w:r>
                              <w:t>7</w:t>
                            </w:r>
                            <w:r w:rsidR="00B97E58" w:rsidRPr="00562F69">
                              <w:t xml:space="preserve"> </w:t>
                            </w:r>
                            <w:r>
                              <w:t>NOVEMBRE</w:t>
                            </w:r>
                            <w:r w:rsidR="00B21DF2" w:rsidRPr="00562F69">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D327D" id="Casella di testo 20" o:spid="_x0000_s1030" type="#_x0000_t202" style="position:absolute;left:0;text-align:left;margin-left:360.9pt;margin-top:727.95pt;width:132.35pt;height:2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" fillcolor="white [3212]" stroked="f" strokeweight=".5pt">
                <v:textbox>
                  <w:txbxContent>
                    <w:p w14:paraId="6B83BF11" w14:textId="0551E0D9" w:rsidR="00832D7E" w:rsidRPr="00B96B24" w:rsidRDefault="00562F69" w:rsidP="00832D7E">
                      <w:pPr>
                        <w:pStyle w:val="TipoDocumento"/>
                        <w:jc w:val="right"/>
                      </w:pPr>
                      <w:r>
                        <w:t>7</w:t>
                      </w:r>
                      <w:r w:rsidR="00B97E58" w:rsidRPr="00562F69">
                        <w:t xml:space="preserve"> </w:t>
                      </w:r>
                      <w:r>
                        <w:t>NOVEMBRE</w:t>
                      </w:r>
                      <w:r w:rsidR="00B21DF2" w:rsidRPr="00562F69">
                        <w:t xml:space="preserve"> 2024</w:t>
                      </w:r>
                    </w:p>
                  </w:txbxContent>
                </v:textbox>
                <w10:wrap anchory="page"/>
              </v:shape>
            </w:pict>
          </mc:Fallback>
        </mc:AlternateContent>
      </w:r>
      <w:r w:rsidR="00B96B24">
        <w:rPr>
          <w:noProof/>
          <w:lang w:eastAsia="it-IT"/>
        </w:rPr>
        <mc:AlternateContent>
          <mc:Choice Requires="wps">
            <w:drawing>
              <wp:anchor distT="0" distB="0" distL="114300" distR="114300" simplePos="0" relativeHeight="251671552" behindDoc="0" locked="0" layoutInCell="1" allowOverlap="1" wp14:anchorId="21DB5312" wp14:editId="2796DBBC">
                <wp:simplePos x="0" y="0"/>
                <wp:positionH relativeFrom="column">
                  <wp:posOffset>3241</wp:posOffset>
                </wp:positionH>
                <wp:positionV relativeFrom="page">
                  <wp:posOffset>8243248</wp:posOffset>
                </wp:positionV>
                <wp:extent cx="1809115" cy="1801504"/>
                <wp:effectExtent l="0" t="0" r="635" b="8255"/>
                <wp:wrapNone/>
                <wp:docPr id="11" name="Casella di testo 11"/>
                <wp:cNvGraphicFramePr/>
                <a:graphic xmlns:a="http://schemas.openxmlformats.org/drawingml/2006/main">
                  <a:graphicData uri="http://schemas.microsoft.com/office/word/2010/wordprocessingShape">
                    <wps:wsp>
                      <wps:cNvSpPr txBox="1"/>
                      <wps:spPr>
                        <a:xfrm>
                          <a:off x="0" y="0"/>
                          <a:ext cx="1809115" cy="1801504"/>
                        </a:xfrm>
                        <a:prstGeom prst="rect">
                          <a:avLst/>
                        </a:prstGeom>
                        <a:solidFill>
                          <a:schemeClr val="tx1">
                            <a:alpha val="15000"/>
                          </a:schemeClr>
                        </a:solidFill>
                        <a:ln w="6350">
                          <a:noFill/>
                        </a:ln>
                      </wps:spPr>
                      <wps:txbx>
                        <w:txbxContent>
                          <w:p w14:paraId="75286A47" w14:textId="4996A4B5" w:rsidR="00302409" w:rsidRPr="00B96B24" w:rsidRDefault="00875C18" w:rsidP="00875C18">
                            <w:pPr>
                              <w:pStyle w:val="Copertina-Autori"/>
                              <w:spacing w:before="60" w:line="264" w:lineRule="auto"/>
                              <w:jc w:val="left"/>
                              <w:rPr>
                                <w:sz w:val="22"/>
                                <w:szCs w:val="22"/>
                              </w:rPr>
                            </w:pPr>
                            <w:r w:rsidRPr="00875C18">
                              <w:rPr>
                                <w:sz w:val="22"/>
                                <w:szCs w:val="22"/>
                              </w:rPr>
                              <w:t>Contabilità e revisione degli Enti locali e delle società a partecipazione pubblica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B5312" id="Casella di testo 11" o:spid="_x0000_s1031" type="#_x0000_t202" style="position:absolute;left:0;text-align:left;margin-left:.25pt;margin-top:649.05pt;width:142.45pt;height:14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" fillcolor="black [3213]" stroked="f" strokeweight=".5pt">
                <v:fill opacity="9766f"/>
                <v:textbox>
                  <w:txbxContent>
                    <w:p w14:paraId="75286A47" w14:textId="4996A4B5" w:rsidR="00302409" w:rsidRPr="00B96B24" w:rsidRDefault="00875C18" w:rsidP="00875C18">
                      <w:pPr>
                        <w:pStyle w:val="Copertina-Autori"/>
                        <w:spacing w:before="60" w:line="264" w:lineRule="auto"/>
                        <w:jc w:val="left"/>
                        <w:rPr>
                          <w:sz w:val="22"/>
                          <w:szCs w:val="22"/>
                        </w:rPr>
                      </w:pPr>
                      <w:r w:rsidRPr="00875C18">
                        <w:rPr>
                          <w:sz w:val="22"/>
                          <w:szCs w:val="22"/>
                        </w:rPr>
                        <w:t>Contabilità e revisione degli Enti locali e delle società a partecipazione pubblica</w:t>
                      </w:r>
                    </w:p>
                  </w:txbxContent>
                </v:textbox>
                <w10:wrap anchory="page"/>
              </v:shape>
            </w:pict>
          </mc:Fallback>
        </mc:AlternateContent>
      </w:r>
      <w:r w:rsidR="00B96B24">
        <w:rPr>
          <w:noProof/>
          <w:lang w:eastAsia="it-IT"/>
        </w:rPr>
        <mc:AlternateContent>
          <mc:Choice Requires="wps">
            <w:drawing>
              <wp:anchor distT="0" distB="0" distL="114300" distR="114300" simplePos="0" relativeHeight="251673600" behindDoc="0" locked="0" layoutInCell="1" allowOverlap="1" wp14:anchorId="31911927" wp14:editId="243CF198">
                <wp:simplePos x="0" y="0"/>
                <wp:positionH relativeFrom="column">
                  <wp:posOffset>2009462</wp:posOffset>
                </wp:positionH>
                <wp:positionV relativeFrom="page">
                  <wp:posOffset>8243248</wp:posOffset>
                </wp:positionV>
                <wp:extent cx="1809115" cy="1801504"/>
                <wp:effectExtent l="0" t="0" r="635" b="8255"/>
                <wp:wrapNone/>
                <wp:docPr id="12" name="Casella di testo 12"/>
                <wp:cNvGraphicFramePr/>
                <a:graphic xmlns:a="http://schemas.openxmlformats.org/drawingml/2006/main">
                  <a:graphicData uri="http://schemas.microsoft.com/office/word/2010/wordprocessingShape">
                    <wps:wsp>
                      <wps:cNvSpPr txBox="1"/>
                      <wps:spPr>
                        <a:xfrm>
                          <a:off x="0" y="0"/>
                          <a:ext cx="1809115" cy="1801504"/>
                        </a:xfrm>
                        <a:prstGeom prst="rect">
                          <a:avLst/>
                        </a:prstGeom>
                        <a:solidFill>
                          <a:schemeClr val="tx1">
                            <a:alpha val="15000"/>
                          </a:schemeClr>
                        </a:solidFill>
                        <a:ln w="6350">
                          <a:noFill/>
                        </a:ln>
                      </wps:spPr>
                      <wps:txbx>
                        <w:txbxContent>
                          <w:p w14:paraId="48A05308" w14:textId="3DDFB18E" w:rsidR="00302409" w:rsidRDefault="00875C18" w:rsidP="00875C18">
                            <w:pPr>
                              <w:pStyle w:val="Copertina-Autori"/>
                              <w:spacing w:before="60"/>
                              <w:rPr>
                                <w:sz w:val="22"/>
                                <w:szCs w:val="22"/>
                              </w:rPr>
                            </w:pPr>
                            <w:r>
                              <w:rPr>
                                <w:sz w:val="22"/>
                                <w:szCs w:val="22"/>
                              </w:rPr>
                              <w:t>Cristina Bertinelli</w:t>
                            </w:r>
                          </w:p>
                          <w:p w14:paraId="5036C317" w14:textId="38E39254" w:rsidR="00875C18" w:rsidRDefault="00875C18" w:rsidP="00B96B24">
                            <w:pPr>
                              <w:pStyle w:val="Copertina-Autori"/>
                              <w:rPr>
                                <w:sz w:val="22"/>
                                <w:szCs w:val="22"/>
                              </w:rPr>
                            </w:pPr>
                            <w:r>
                              <w:rPr>
                                <w:sz w:val="22"/>
                                <w:szCs w:val="22"/>
                              </w:rPr>
                              <w:t>Giuseppe Venneri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11927" id="Casella di testo 12" o:spid="_x0000_s1032" type="#_x0000_t202" style="position:absolute;left:0;text-align:left;margin-left:158.25pt;margin-top:649.05pt;width:142.45pt;height:14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" fillcolor="black [3213]" stroked="f" strokeweight=".5pt">
                <v:fill opacity="9766f"/>
                <v:textbox>
                  <w:txbxContent>
                    <w:p w14:paraId="48A05308" w14:textId="3DDFB18E" w:rsidR="00302409" w:rsidRDefault="00875C18" w:rsidP="00875C18">
                      <w:pPr>
                        <w:pStyle w:val="Copertina-Autori"/>
                        <w:spacing w:before="60"/>
                        <w:rPr>
                          <w:sz w:val="22"/>
                          <w:szCs w:val="22"/>
                        </w:rPr>
                      </w:pPr>
                      <w:r>
                        <w:rPr>
                          <w:sz w:val="22"/>
                          <w:szCs w:val="22"/>
                        </w:rPr>
                        <w:t>Cristina Bertinelli</w:t>
                      </w:r>
                    </w:p>
                    <w:p w14:paraId="5036C317" w14:textId="38E39254" w:rsidR="00875C18" w:rsidRDefault="00875C18" w:rsidP="00B96B24">
                      <w:pPr>
                        <w:pStyle w:val="Copertina-Autori"/>
                        <w:rPr>
                          <w:sz w:val="22"/>
                          <w:szCs w:val="22"/>
                        </w:rPr>
                      </w:pPr>
                      <w:r>
                        <w:rPr>
                          <w:sz w:val="22"/>
                          <w:szCs w:val="22"/>
                        </w:rPr>
                        <w:t>Giuseppe Venneri</w:t>
                      </w:r>
                    </w:p>
                  </w:txbxContent>
                </v:textbox>
                <w10:wrap anchory="page"/>
              </v:shape>
            </w:pict>
          </mc:Fallback>
        </mc:AlternateContent>
      </w:r>
      <w:r w:rsidR="00B96B24">
        <w:rPr>
          <w:noProof/>
          <w:lang w:eastAsia="it-IT"/>
        </w:rPr>
        <mc:AlternateContent>
          <mc:Choice Requires="wps">
            <w:drawing>
              <wp:anchor distT="0" distB="0" distL="114300" distR="114300" simplePos="0" relativeHeight="251675648" behindDoc="0" locked="0" layoutInCell="1" allowOverlap="1" wp14:anchorId="6D648412" wp14:editId="3071A8E3">
                <wp:simplePos x="0" y="0"/>
                <wp:positionH relativeFrom="column">
                  <wp:posOffset>8890</wp:posOffset>
                </wp:positionH>
                <wp:positionV relativeFrom="page">
                  <wp:posOffset>7994650</wp:posOffset>
                </wp:positionV>
                <wp:extent cx="1836000" cy="233045"/>
                <wp:effectExtent l="0" t="0" r="0" b="0"/>
                <wp:wrapNone/>
                <wp:docPr id="18" name="Casella di testo 18"/>
                <wp:cNvGraphicFramePr/>
                <a:graphic xmlns:a="http://schemas.openxmlformats.org/drawingml/2006/main">
                  <a:graphicData uri="http://schemas.microsoft.com/office/word/2010/wordprocessingShape">
                    <wps:wsp>
                      <wps:cNvSpPr txBox="1"/>
                      <wps:spPr>
                        <a:xfrm>
                          <a:off x="0" y="0"/>
                          <a:ext cx="1836000" cy="233045"/>
                        </a:xfrm>
                        <a:prstGeom prst="rect">
                          <a:avLst/>
                        </a:prstGeom>
                        <a:solidFill>
                          <a:schemeClr val="bg1"/>
                        </a:solidFill>
                        <a:ln w="6350">
                          <a:noFill/>
                        </a:ln>
                      </wps:spPr>
                      <wps:txbx>
                        <w:txbxContent>
                          <w:p w14:paraId="66580CE9" w14:textId="34A02E6E" w:rsidR="00B96B24" w:rsidRPr="00B96B24" w:rsidRDefault="00B96B24" w:rsidP="004C5239">
                            <w:pPr>
                              <w:pStyle w:val="TipoDocumento"/>
                              <w:spacing w:after="0"/>
                            </w:pPr>
                            <w:r>
                              <w:t>Are</w:t>
                            </w:r>
                            <w:r w:rsidR="005E57D2">
                              <w:t>e</w:t>
                            </w:r>
                            <w:r>
                              <w:t xml:space="preserve"> di delega</w:t>
                            </w:r>
                            <w:r w:rsidR="00180D69">
                              <w:t xml:space="preserve"> CNDCEC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48412" id="Casella di testo 18" o:spid="_x0000_s1033" type="#_x0000_t202" style="position:absolute;left:0;text-align:left;margin-left:.7pt;margin-top:629.5pt;width:144.55pt;height:1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" fillcolor="white [3212]" stroked="f" strokeweight=".5pt">
                <v:textbox>
                  <w:txbxContent>
                    <w:p w14:paraId="66580CE9" w14:textId="34A02E6E" w:rsidR="00B96B24" w:rsidRPr="00B96B24" w:rsidRDefault="00B96B24" w:rsidP="004C5239">
                      <w:pPr>
                        <w:pStyle w:val="TipoDocumento"/>
                        <w:spacing w:after="0"/>
                      </w:pPr>
                      <w:r>
                        <w:t>Are</w:t>
                      </w:r>
                      <w:r w:rsidR="005E57D2">
                        <w:t>e</w:t>
                      </w:r>
                      <w:r>
                        <w:t xml:space="preserve"> di delega</w:t>
                      </w:r>
                      <w:r w:rsidR="00180D69">
                        <w:t xml:space="preserve"> CNDCEC</w:t>
                      </w:r>
                    </w:p>
                  </w:txbxContent>
                </v:textbox>
                <w10:wrap anchory="page"/>
              </v:shape>
            </w:pict>
          </mc:Fallback>
        </mc:AlternateContent>
      </w:r>
    </w:p>
    <w:p w14:paraId="1EB83C3A" w14:textId="6646A13A" w:rsidR="00281EF7" w:rsidRDefault="0045691F" w:rsidP="0045691F">
      <w:pPr>
        <w:tabs>
          <w:tab w:val="left" w:pos="910"/>
        </w:tabs>
        <w:sectPr w:rsidR="00281EF7" w:rsidSect="00D11DF1">
          <w:headerReference w:type="default" r:id="rId9"/>
          <w:footerReference w:type="even" r:id="rId10"/>
          <w:footerReference w:type="default" r:id="rId11"/>
          <w:headerReference w:type="first" r:id="rId12"/>
          <w:pgSz w:w="11906" w:h="16838"/>
          <w:pgMar w:top="1417" w:right="1134" w:bottom="1134" w:left="1134" w:header="708" w:footer="708" w:gutter="0"/>
          <w:cols w:space="708"/>
          <w:titlePg/>
          <w:docGrid w:linePitch="360"/>
        </w:sectPr>
      </w:pPr>
      <w:r>
        <w:tab/>
      </w:r>
    </w:p>
    <w:p w14:paraId="42F8BC00" w14:textId="77777777" w:rsidR="00312F8F" w:rsidRDefault="00312F8F" w:rsidP="00F8628F">
      <w:pPr>
        <w:pBdr>
          <w:top w:val="single" w:sz="48" w:space="20" w:color="C00000"/>
        </w:pBdr>
        <w:spacing w:after="120" w:line="360" w:lineRule="auto"/>
        <w:rPr>
          <w:rFonts w:cstheme="minorHAnsi"/>
          <w:b/>
          <w:bCs/>
          <w:color w:val="C00000"/>
          <w:sz w:val="32"/>
          <w:szCs w:val="28"/>
        </w:rPr>
      </w:pPr>
      <w:bookmarkStart w:id="1" w:name="_Hlk132409553"/>
    </w:p>
    <w:p w14:paraId="51091317" w14:textId="77777777" w:rsidR="00312F8F" w:rsidRDefault="00312F8F" w:rsidP="00F8628F">
      <w:pPr>
        <w:pBdr>
          <w:top w:val="single" w:sz="48" w:space="20" w:color="C00000"/>
        </w:pBdr>
        <w:spacing w:after="120" w:line="360" w:lineRule="auto"/>
        <w:rPr>
          <w:rFonts w:cstheme="minorHAnsi"/>
          <w:b/>
          <w:bCs/>
          <w:color w:val="C00000"/>
          <w:sz w:val="32"/>
          <w:szCs w:val="28"/>
        </w:rPr>
      </w:pPr>
    </w:p>
    <w:p w14:paraId="5C7D0AAE" w14:textId="77777777" w:rsidR="00312F8F" w:rsidRDefault="00312F8F" w:rsidP="00F8628F">
      <w:pPr>
        <w:pBdr>
          <w:top w:val="single" w:sz="48" w:space="20" w:color="C00000"/>
        </w:pBdr>
        <w:spacing w:after="120" w:line="360" w:lineRule="auto"/>
        <w:rPr>
          <w:rFonts w:cstheme="minorHAnsi"/>
          <w:b/>
          <w:bCs/>
          <w:color w:val="C00000"/>
          <w:sz w:val="32"/>
          <w:szCs w:val="28"/>
        </w:rPr>
      </w:pPr>
    </w:p>
    <w:p w14:paraId="39331D19" w14:textId="642E3A3C" w:rsidR="00F8628F" w:rsidRPr="00877F8C" w:rsidRDefault="0045691F" w:rsidP="00F8628F">
      <w:pPr>
        <w:pBdr>
          <w:top w:val="single" w:sz="48" w:space="20" w:color="C00000"/>
        </w:pBdr>
        <w:spacing w:after="120" w:line="360" w:lineRule="auto"/>
        <w:rPr>
          <w:rFonts w:cstheme="minorHAnsi"/>
          <w:b/>
          <w:bCs/>
          <w:color w:val="C00000"/>
          <w:sz w:val="32"/>
          <w:szCs w:val="28"/>
        </w:rPr>
      </w:pPr>
      <w:r>
        <w:rPr>
          <w:rFonts w:cstheme="minorHAnsi"/>
          <w:b/>
          <w:bCs/>
          <w:color w:val="C00000"/>
          <w:sz w:val="32"/>
          <w:szCs w:val="28"/>
        </w:rPr>
        <w:t xml:space="preserve"> </w:t>
      </w:r>
    </w:p>
    <w:bookmarkEnd w:id="1"/>
    <w:p w14:paraId="39675348" w14:textId="77777777" w:rsidR="00860593" w:rsidRDefault="00860593" w:rsidP="00E00C42">
      <w:pPr>
        <w:spacing w:before="360" w:after="60" w:line="264" w:lineRule="auto"/>
        <w:rPr>
          <w:rFonts w:cstheme="minorHAnsi"/>
          <w:b/>
          <w:bCs/>
          <w:sz w:val="28"/>
          <w:szCs w:val="24"/>
        </w:rPr>
      </w:pPr>
    </w:p>
    <w:tbl>
      <w:tblPr>
        <w:tblpPr w:leftFromText="141" w:rightFromText="141" w:vertAnchor="text" w:horzAnchor="margin" w:tblpY="285"/>
        <w:tblW w:w="0" w:type="auto"/>
        <w:tblBorders>
          <w:top w:val="single" w:sz="18" w:space="0" w:color="FFFFFF"/>
          <w:left w:val="single" w:sz="18" w:space="0" w:color="FFFFFF"/>
          <w:bottom w:val="single" w:sz="18" w:space="0" w:color="990000"/>
          <w:right w:val="single" w:sz="18" w:space="0" w:color="FFFFFF"/>
          <w:insideH w:val="single" w:sz="6" w:space="0" w:color="990000"/>
          <w:insideV w:val="single" w:sz="6" w:space="0" w:color="990000"/>
        </w:tblBorders>
        <w:tblLook w:val="04A0" w:firstRow="1" w:lastRow="0" w:firstColumn="1" w:lastColumn="0" w:noHBand="0" w:noVBand="1"/>
      </w:tblPr>
      <w:tblGrid>
        <w:gridCol w:w="5609"/>
      </w:tblGrid>
      <w:tr w:rsidR="00860593" w:rsidRPr="000151AA" w14:paraId="2572AF74" w14:textId="77777777" w:rsidTr="002F5982">
        <w:trPr>
          <w:trHeight w:hRule="exact" w:val="471"/>
        </w:trPr>
        <w:tc>
          <w:tcPr>
            <w:tcW w:w="5609" w:type="dxa"/>
            <w:shd w:val="clear" w:color="auto" w:fill="990000"/>
            <w:vAlign w:val="center"/>
          </w:tcPr>
          <w:p w14:paraId="654BBBDB" w14:textId="77777777" w:rsidR="00860593" w:rsidRPr="00717B89" w:rsidRDefault="00860593" w:rsidP="002F5982">
            <w:pPr>
              <w:spacing w:line="240" w:lineRule="auto"/>
              <w:rPr>
                <w:rFonts w:ascii="Calibri" w:eastAsia="Calibri" w:hAnsi="Calibri"/>
                <w:b/>
                <w:bCs/>
                <w:smallCaps/>
              </w:rPr>
            </w:pPr>
            <w:r w:rsidRPr="00860593">
              <w:rPr>
                <w:rFonts w:ascii="Calibri" w:eastAsia="Calibri" w:hAnsi="Calibri"/>
                <w:b/>
                <w:bCs/>
                <w:smallCaps/>
                <w:color w:val="auto"/>
              </w:rPr>
              <w:t>Gruppo di lavoro</w:t>
            </w:r>
          </w:p>
        </w:tc>
      </w:tr>
      <w:tr w:rsidR="00860593" w:rsidRPr="000151AA" w14:paraId="1431503D" w14:textId="77777777" w:rsidTr="002F5982">
        <w:trPr>
          <w:trHeight w:hRule="exact" w:val="397"/>
        </w:trPr>
        <w:tc>
          <w:tcPr>
            <w:tcW w:w="5609" w:type="dxa"/>
            <w:shd w:val="clear" w:color="auto" w:fill="auto"/>
            <w:vAlign w:val="center"/>
          </w:tcPr>
          <w:p w14:paraId="3BC1C863" w14:textId="77777777" w:rsidR="00860593" w:rsidRPr="00717B89" w:rsidRDefault="00860593" w:rsidP="002F5982">
            <w:pPr>
              <w:spacing w:line="240" w:lineRule="auto"/>
              <w:rPr>
                <w:rFonts w:ascii="Calibri" w:eastAsia="Calibri" w:hAnsi="Calibri"/>
                <w:b/>
                <w:bCs/>
                <w:smallCaps/>
                <w:szCs w:val="22"/>
              </w:rPr>
            </w:pPr>
            <w:r w:rsidRPr="00717B89">
              <w:rPr>
                <w:rFonts w:ascii="Calibri" w:eastAsia="Calibri" w:hAnsi="Calibri"/>
                <w:b/>
                <w:bCs/>
                <w:smallCaps/>
                <w:szCs w:val="22"/>
              </w:rPr>
              <w:t xml:space="preserve">Marco Castellani </w:t>
            </w:r>
            <w:r w:rsidRPr="00717B89">
              <w:rPr>
                <w:rFonts w:ascii="Calibri" w:eastAsia="Calibri" w:hAnsi="Calibri"/>
                <w:smallCaps/>
                <w:szCs w:val="22"/>
              </w:rPr>
              <w:t>-</w:t>
            </w:r>
            <w:r w:rsidRPr="00717B89">
              <w:rPr>
                <w:rFonts w:ascii="Calibri" w:eastAsia="Calibri" w:hAnsi="Calibri"/>
                <w:b/>
                <w:bCs/>
                <w:smallCaps/>
                <w:szCs w:val="22"/>
              </w:rPr>
              <w:t xml:space="preserve"> </w:t>
            </w:r>
            <w:r w:rsidRPr="00717B89">
              <w:rPr>
                <w:rFonts w:ascii="Calibri" w:eastAsia="Calibri" w:hAnsi="Calibri"/>
                <w:i/>
                <w:iCs/>
                <w:szCs w:val="22"/>
              </w:rPr>
              <w:t>Presidente Ancrel</w:t>
            </w:r>
          </w:p>
        </w:tc>
      </w:tr>
      <w:tr w:rsidR="00860593" w:rsidRPr="000151AA" w14:paraId="254FCCA9" w14:textId="77777777" w:rsidTr="002F5982">
        <w:trPr>
          <w:trHeight w:hRule="exact" w:val="397"/>
        </w:trPr>
        <w:tc>
          <w:tcPr>
            <w:tcW w:w="5609" w:type="dxa"/>
            <w:shd w:val="clear" w:color="auto" w:fill="auto"/>
            <w:vAlign w:val="center"/>
          </w:tcPr>
          <w:p w14:paraId="42DFF892" w14:textId="77777777" w:rsidR="00860593" w:rsidRPr="00717B89" w:rsidRDefault="00860593" w:rsidP="002F5982">
            <w:pPr>
              <w:spacing w:line="240" w:lineRule="auto"/>
              <w:rPr>
                <w:rFonts w:ascii="Calibri" w:eastAsia="Calibri" w:hAnsi="Calibri"/>
                <w:b/>
                <w:bCs/>
                <w:smallCaps/>
                <w:szCs w:val="22"/>
              </w:rPr>
            </w:pPr>
            <w:r w:rsidRPr="00717B89">
              <w:rPr>
                <w:rFonts w:ascii="Calibri" w:eastAsia="Calibri" w:hAnsi="Calibri"/>
                <w:b/>
                <w:bCs/>
                <w:smallCaps/>
                <w:szCs w:val="22"/>
              </w:rPr>
              <w:t xml:space="preserve">Tommaso Pazzaglini </w:t>
            </w:r>
            <w:r w:rsidRPr="00717B89">
              <w:rPr>
                <w:rFonts w:ascii="Calibri" w:eastAsia="Calibri" w:hAnsi="Calibri"/>
                <w:i/>
                <w:iCs/>
                <w:smallCaps/>
                <w:szCs w:val="22"/>
              </w:rPr>
              <w:t>-</w:t>
            </w:r>
            <w:r w:rsidRPr="00717B89">
              <w:rPr>
                <w:rFonts w:ascii="Calibri" w:eastAsia="Calibri" w:hAnsi="Calibri"/>
                <w:b/>
                <w:bCs/>
                <w:smallCaps/>
                <w:szCs w:val="22"/>
              </w:rPr>
              <w:t xml:space="preserve"> </w:t>
            </w:r>
            <w:r w:rsidRPr="00717B89">
              <w:rPr>
                <w:rFonts w:ascii="Calibri" w:eastAsia="Calibri" w:hAnsi="Calibri"/>
                <w:i/>
                <w:iCs/>
                <w:szCs w:val="22"/>
              </w:rPr>
              <w:t>Ancrel</w:t>
            </w:r>
          </w:p>
        </w:tc>
      </w:tr>
      <w:tr w:rsidR="00860593" w:rsidRPr="000151AA" w14:paraId="0A3BE79D" w14:textId="77777777" w:rsidTr="002F5982">
        <w:trPr>
          <w:trHeight w:hRule="exact" w:val="397"/>
        </w:trPr>
        <w:tc>
          <w:tcPr>
            <w:tcW w:w="5609" w:type="dxa"/>
            <w:shd w:val="clear" w:color="auto" w:fill="auto"/>
            <w:vAlign w:val="center"/>
          </w:tcPr>
          <w:p w14:paraId="016B3E26" w14:textId="77777777" w:rsidR="00860593" w:rsidRPr="00717B89" w:rsidRDefault="00860593" w:rsidP="002F5982">
            <w:pPr>
              <w:spacing w:line="240" w:lineRule="auto"/>
              <w:rPr>
                <w:rFonts w:ascii="Calibri" w:eastAsia="Calibri" w:hAnsi="Calibri"/>
                <w:i/>
                <w:iCs/>
                <w:szCs w:val="22"/>
              </w:rPr>
            </w:pPr>
            <w:r w:rsidRPr="00717B89">
              <w:rPr>
                <w:rFonts w:ascii="Calibri" w:eastAsia="Calibri" w:hAnsi="Calibri"/>
                <w:b/>
                <w:bCs/>
                <w:smallCaps/>
                <w:szCs w:val="22"/>
              </w:rPr>
              <w:t xml:space="preserve">Anna De Toni </w:t>
            </w:r>
            <w:r w:rsidRPr="00717B89">
              <w:rPr>
                <w:rFonts w:ascii="Calibri" w:eastAsia="Calibri" w:hAnsi="Calibri"/>
                <w:smallCaps/>
                <w:szCs w:val="22"/>
              </w:rPr>
              <w:t xml:space="preserve">- </w:t>
            </w:r>
            <w:r w:rsidRPr="00717B89">
              <w:rPr>
                <w:rFonts w:ascii="Calibri" w:eastAsia="Calibri" w:hAnsi="Calibri"/>
                <w:i/>
                <w:iCs/>
                <w:szCs w:val="22"/>
              </w:rPr>
              <w:t>Ricercatrice Area Enti Pubblici FNC</w:t>
            </w:r>
          </w:p>
        </w:tc>
      </w:tr>
    </w:tbl>
    <w:p w14:paraId="4001C845" w14:textId="24A13435" w:rsidR="00F8628F" w:rsidRDefault="00F8628F" w:rsidP="004C5239">
      <w:pPr>
        <w:pBdr>
          <w:top w:val="single" w:sz="36" w:space="12" w:color="C00000"/>
        </w:pBdr>
        <w:rPr>
          <w:b/>
          <w:bCs/>
          <w:color w:val="C00000"/>
          <w:sz w:val="32"/>
          <w:szCs w:val="28"/>
        </w:rPr>
        <w:sectPr w:rsidR="00F8628F" w:rsidSect="00D11DF1">
          <w:footerReference w:type="default" r:id="rId13"/>
          <w:pgSz w:w="11906" w:h="16838"/>
          <w:pgMar w:top="1985" w:right="1985" w:bottom="1418" w:left="1418" w:header="709" w:footer="499" w:gutter="0"/>
          <w:pgNumType w:start="1"/>
          <w:cols w:space="708"/>
          <w:docGrid w:linePitch="360"/>
        </w:sectPr>
      </w:pPr>
    </w:p>
    <w:tbl>
      <w:tblPr>
        <w:tblW w:w="9527" w:type="dxa"/>
        <w:tblInd w:w="-318" w:type="dxa"/>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Look w:val="04A0" w:firstRow="1" w:lastRow="0" w:firstColumn="1" w:lastColumn="0" w:noHBand="0" w:noVBand="1"/>
      </w:tblPr>
      <w:tblGrid>
        <w:gridCol w:w="5529"/>
        <w:gridCol w:w="1134"/>
        <w:gridCol w:w="1276"/>
        <w:gridCol w:w="1588"/>
      </w:tblGrid>
      <w:tr w:rsidR="0050356C" w:rsidRPr="00422513" w14:paraId="70846D87" w14:textId="77777777" w:rsidTr="0050356C">
        <w:trPr>
          <w:trHeight w:hRule="exact" w:val="397"/>
        </w:trPr>
        <w:tc>
          <w:tcPr>
            <w:tcW w:w="5529" w:type="dxa"/>
            <w:shd w:val="clear" w:color="auto" w:fill="C00000"/>
            <w:vAlign w:val="center"/>
          </w:tcPr>
          <w:p w14:paraId="52B5196E" w14:textId="77777777" w:rsidR="0050356C" w:rsidRPr="0050356C" w:rsidRDefault="0050356C" w:rsidP="002D2A71">
            <w:pPr>
              <w:spacing w:after="0" w:line="240" w:lineRule="auto"/>
              <w:jc w:val="center"/>
              <w:rPr>
                <w:rFonts w:eastAsia="Times New Roman" w:cstheme="minorHAnsi"/>
                <w:b/>
                <w:bCs/>
                <w:smallCaps/>
                <w:color w:val="auto"/>
                <w:sz w:val="28"/>
                <w:szCs w:val="28"/>
                <w:lang w:eastAsia="it-IT"/>
              </w:rPr>
            </w:pPr>
            <w:r w:rsidRPr="0050356C">
              <w:rPr>
                <w:rFonts w:eastAsia="Times New Roman" w:cstheme="minorHAnsi"/>
                <w:b/>
                <w:bCs/>
                <w:smallCaps/>
                <w:color w:val="auto"/>
                <w:sz w:val="28"/>
                <w:szCs w:val="28"/>
                <w:lang w:eastAsia="it-IT"/>
              </w:rPr>
              <w:lastRenderedPageBreak/>
              <w:t>Descrizione</w:t>
            </w:r>
          </w:p>
        </w:tc>
        <w:tc>
          <w:tcPr>
            <w:tcW w:w="1134" w:type="dxa"/>
            <w:shd w:val="clear" w:color="auto" w:fill="C00000"/>
            <w:vAlign w:val="center"/>
          </w:tcPr>
          <w:p w14:paraId="089D83E8" w14:textId="77777777" w:rsidR="0050356C" w:rsidRPr="0050356C" w:rsidRDefault="0050356C" w:rsidP="002D2A71">
            <w:pPr>
              <w:spacing w:after="0" w:line="240" w:lineRule="auto"/>
              <w:jc w:val="center"/>
              <w:rPr>
                <w:rFonts w:eastAsia="Times New Roman" w:cstheme="minorHAnsi"/>
                <w:b/>
                <w:bCs/>
                <w:smallCaps/>
                <w:color w:val="auto"/>
                <w:sz w:val="28"/>
                <w:szCs w:val="28"/>
                <w:lang w:eastAsia="it-IT"/>
              </w:rPr>
            </w:pPr>
            <w:r w:rsidRPr="0050356C">
              <w:rPr>
                <w:rFonts w:eastAsia="Times New Roman" w:cstheme="minorHAnsi"/>
                <w:b/>
                <w:bCs/>
                <w:smallCaps/>
                <w:color w:val="auto"/>
                <w:sz w:val="28"/>
                <w:szCs w:val="28"/>
                <w:lang w:eastAsia="it-IT"/>
              </w:rPr>
              <w:t>Si</w:t>
            </w:r>
          </w:p>
        </w:tc>
        <w:tc>
          <w:tcPr>
            <w:tcW w:w="1276" w:type="dxa"/>
            <w:shd w:val="clear" w:color="auto" w:fill="C00000"/>
            <w:vAlign w:val="center"/>
          </w:tcPr>
          <w:p w14:paraId="1DDA00D3" w14:textId="77777777" w:rsidR="0050356C" w:rsidRPr="0050356C" w:rsidRDefault="0050356C" w:rsidP="002D2A71">
            <w:pPr>
              <w:spacing w:after="0" w:line="240" w:lineRule="auto"/>
              <w:jc w:val="center"/>
              <w:rPr>
                <w:rFonts w:eastAsia="Times New Roman" w:cstheme="minorHAnsi"/>
                <w:b/>
                <w:bCs/>
                <w:smallCaps/>
                <w:color w:val="auto"/>
                <w:sz w:val="28"/>
                <w:szCs w:val="28"/>
                <w:lang w:eastAsia="it-IT"/>
              </w:rPr>
            </w:pPr>
            <w:r w:rsidRPr="0050356C">
              <w:rPr>
                <w:rFonts w:eastAsia="Times New Roman" w:cstheme="minorHAnsi"/>
                <w:b/>
                <w:bCs/>
                <w:smallCaps/>
                <w:color w:val="auto"/>
                <w:sz w:val="28"/>
                <w:szCs w:val="28"/>
                <w:lang w:eastAsia="it-IT"/>
              </w:rPr>
              <w:t>No</w:t>
            </w:r>
          </w:p>
        </w:tc>
        <w:tc>
          <w:tcPr>
            <w:tcW w:w="1588" w:type="dxa"/>
            <w:shd w:val="clear" w:color="auto" w:fill="C00000"/>
            <w:vAlign w:val="center"/>
          </w:tcPr>
          <w:p w14:paraId="4F5E5234" w14:textId="77777777" w:rsidR="0050356C" w:rsidRPr="0050356C" w:rsidRDefault="0050356C" w:rsidP="002D2A71">
            <w:pPr>
              <w:spacing w:after="0" w:line="240" w:lineRule="auto"/>
              <w:jc w:val="center"/>
              <w:rPr>
                <w:rFonts w:eastAsia="Times New Roman" w:cstheme="minorHAnsi"/>
                <w:b/>
                <w:bCs/>
                <w:smallCaps/>
                <w:color w:val="auto"/>
                <w:sz w:val="28"/>
                <w:szCs w:val="28"/>
                <w:lang w:eastAsia="it-IT"/>
              </w:rPr>
            </w:pPr>
            <w:r w:rsidRPr="0050356C">
              <w:rPr>
                <w:rFonts w:eastAsia="Times New Roman" w:cstheme="minorHAnsi"/>
                <w:b/>
                <w:bCs/>
                <w:smallCaps/>
                <w:color w:val="auto"/>
                <w:sz w:val="28"/>
                <w:szCs w:val="28"/>
                <w:lang w:eastAsia="it-IT"/>
              </w:rPr>
              <w:t>Commenti</w:t>
            </w:r>
          </w:p>
        </w:tc>
      </w:tr>
      <w:tr w:rsidR="0050356C" w:rsidRPr="00290A6B" w14:paraId="00DC7310" w14:textId="77777777" w:rsidTr="0050356C">
        <w:tc>
          <w:tcPr>
            <w:tcW w:w="5529" w:type="dxa"/>
          </w:tcPr>
          <w:p w14:paraId="236ACFAD" w14:textId="6E15E8DD" w:rsidR="0050356C" w:rsidRPr="00562F69" w:rsidRDefault="0050356C" w:rsidP="002D2A71">
            <w:pPr>
              <w:spacing w:before="120" w:after="120" w:line="240" w:lineRule="auto"/>
              <w:rPr>
                <w:rFonts w:eastAsia="Times New Roman" w:cstheme="minorHAnsi"/>
                <w:color w:val="auto"/>
                <w:lang w:eastAsia="it-IT"/>
              </w:rPr>
            </w:pPr>
            <w:r w:rsidRPr="00422513">
              <w:rPr>
                <w:rFonts w:eastAsia="Times New Roman" w:cstheme="minorHAnsi"/>
                <w:sz w:val="20"/>
                <w:szCs w:val="20"/>
                <w:lang w:eastAsia="it-IT"/>
              </w:rPr>
              <w:t>L</w:t>
            </w:r>
            <w:r w:rsidRPr="00562F69">
              <w:rPr>
                <w:rFonts w:eastAsia="Times New Roman" w:cstheme="minorHAnsi"/>
                <w:color w:val="auto"/>
                <w:sz w:val="20"/>
                <w:szCs w:val="20"/>
                <w:lang w:eastAsia="it-IT"/>
              </w:rPr>
              <w:t xml:space="preserve">’Organo di revisione ha verificato che la nota integrativa allegata al bilancio di previsione </w:t>
            </w:r>
            <w:r w:rsidRPr="00562F69">
              <w:rPr>
                <w:rFonts w:eastAsia="Times New Roman" w:cstheme="minorHAnsi"/>
                <w:b/>
                <w:bCs/>
                <w:color w:val="auto"/>
                <w:sz w:val="20"/>
                <w:szCs w:val="20"/>
                <w:lang w:eastAsia="it-IT"/>
              </w:rPr>
              <w:t>riporta/non riporta</w:t>
            </w:r>
            <w:r w:rsidRPr="00562F69">
              <w:rPr>
                <w:rFonts w:eastAsia="Times New Roman" w:cstheme="minorHAnsi"/>
                <w:color w:val="auto"/>
                <w:sz w:val="20"/>
                <w:szCs w:val="20"/>
                <w:lang w:eastAsia="it-IT"/>
              </w:rPr>
              <w:t xml:space="preserve"> le informazioni previste dal</w:t>
            </w:r>
            <w:r w:rsidR="00112A54" w:rsidRPr="00562F69">
              <w:rPr>
                <w:rFonts w:eastAsia="Times New Roman" w:cstheme="minorHAnsi"/>
                <w:color w:val="auto"/>
                <w:sz w:val="20"/>
                <w:szCs w:val="20"/>
                <w:lang w:eastAsia="it-IT"/>
              </w:rPr>
              <w:t>l’art.11 co.5</w:t>
            </w:r>
            <w:r w:rsidRPr="00562F69">
              <w:rPr>
                <w:rFonts w:eastAsia="Times New Roman" w:cstheme="minorHAnsi"/>
                <w:color w:val="auto"/>
                <w:sz w:val="20"/>
                <w:szCs w:val="20"/>
                <w:lang w:eastAsia="it-IT"/>
              </w:rPr>
              <w:t xml:space="preserve"> del D.lgs. 23/6/2011 n.118 e dal punto 9.11.1 del principio </w:t>
            </w:r>
            <w:proofErr w:type="spellStart"/>
            <w:r w:rsidR="00112A54" w:rsidRPr="00562F69">
              <w:rPr>
                <w:rFonts w:eastAsia="Times New Roman" w:cstheme="minorHAnsi"/>
                <w:color w:val="auto"/>
                <w:sz w:val="20"/>
                <w:szCs w:val="20"/>
                <w:lang w:eastAsia="it-IT"/>
              </w:rPr>
              <w:t>All</w:t>
            </w:r>
            <w:proofErr w:type="spellEnd"/>
            <w:r w:rsidR="00112A54" w:rsidRPr="00562F69">
              <w:rPr>
                <w:rFonts w:eastAsia="Times New Roman" w:cstheme="minorHAnsi"/>
                <w:color w:val="auto"/>
                <w:sz w:val="20"/>
                <w:szCs w:val="20"/>
                <w:lang w:eastAsia="it-IT"/>
              </w:rPr>
              <w:t xml:space="preserve">. </w:t>
            </w:r>
            <w:r w:rsidRPr="00562F69">
              <w:rPr>
                <w:rFonts w:eastAsia="Times New Roman" w:cstheme="minorHAnsi"/>
                <w:color w:val="auto"/>
                <w:sz w:val="20"/>
                <w:szCs w:val="20"/>
                <w:lang w:eastAsia="it-IT"/>
              </w:rPr>
              <w:t>4/1 (si veda nota metodologica riportata in calce alla presente tabella) tutte le seguenti informazioni</w:t>
            </w:r>
            <w:r w:rsidRPr="00562F69">
              <w:rPr>
                <w:rFonts w:eastAsia="Times New Roman" w:cstheme="minorHAnsi"/>
                <w:color w:val="auto"/>
                <w:lang w:eastAsia="it-IT"/>
              </w:rPr>
              <w:t>:</w:t>
            </w:r>
          </w:p>
          <w:p w14:paraId="53ADEE99" w14:textId="77777777" w:rsidR="0050356C" w:rsidRPr="00562F69" w:rsidRDefault="0050356C" w:rsidP="002D2A71">
            <w:pPr>
              <w:spacing w:before="60" w:after="120" w:line="240" w:lineRule="auto"/>
              <w:ind w:left="340" w:hanging="274"/>
              <w:rPr>
                <w:rFonts w:eastAsia="Times New Roman" w:cstheme="minorHAnsi"/>
                <w:color w:val="auto"/>
                <w:sz w:val="20"/>
                <w:szCs w:val="20"/>
                <w:lang w:eastAsia="it-IT"/>
              </w:rPr>
            </w:pPr>
            <w:r w:rsidRPr="00562F69">
              <w:rPr>
                <w:rFonts w:eastAsia="Times New Roman" w:cstheme="minorHAnsi"/>
                <w:color w:val="auto"/>
                <w:lang w:eastAsia="it-IT"/>
              </w:rPr>
              <w:t>a)</w:t>
            </w:r>
            <w:r w:rsidRPr="00562F69">
              <w:rPr>
                <w:rFonts w:eastAsia="Times New Roman" w:cstheme="minorHAnsi"/>
                <w:color w:val="auto"/>
                <w:lang w:eastAsia="it-IT"/>
              </w:rPr>
              <w:tab/>
            </w:r>
            <w:r w:rsidRPr="00562F69">
              <w:rPr>
                <w:rFonts w:eastAsia="Times New Roman" w:cstheme="minorHAnsi"/>
                <w:color w:val="auto"/>
                <w:sz w:val="20"/>
                <w:szCs w:val="20"/>
                <w:lang w:eastAsia="it-IT"/>
              </w:rPr>
              <w:t xml:space="preserve">i criteri di valutazione adottati per la formulazione delle previsioni, con particolare riferimento agli stanziamenti riguardanti gli accantonamenti per le spese potenziali e al fondo crediti di dubbia esigibilità, dando illustrazione dei crediti per i quali non è previsto l’accantonamento a tale fondo; </w:t>
            </w:r>
          </w:p>
          <w:p w14:paraId="52A739C0" w14:textId="77777777" w:rsidR="0050356C" w:rsidRPr="00562F69" w:rsidRDefault="0050356C" w:rsidP="002D2A71">
            <w:pPr>
              <w:spacing w:before="60" w:after="120" w:line="240" w:lineRule="auto"/>
              <w:ind w:left="340" w:hanging="274"/>
              <w:rPr>
                <w:rFonts w:eastAsia="Times New Roman" w:cstheme="minorHAnsi"/>
                <w:color w:val="auto"/>
                <w:sz w:val="20"/>
                <w:szCs w:val="20"/>
                <w:lang w:eastAsia="it-IT"/>
              </w:rPr>
            </w:pPr>
            <w:r w:rsidRPr="00562F69">
              <w:rPr>
                <w:rFonts w:eastAsia="Times New Roman" w:cstheme="minorHAnsi"/>
                <w:color w:val="auto"/>
                <w:sz w:val="20"/>
                <w:szCs w:val="20"/>
                <w:lang w:eastAsia="it-IT"/>
              </w:rPr>
              <w:t>b)</w:t>
            </w:r>
            <w:r w:rsidRPr="00562F69">
              <w:rPr>
                <w:rFonts w:eastAsia="Times New Roman" w:cstheme="minorHAnsi"/>
                <w:color w:val="auto"/>
                <w:sz w:val="20"/>
                <w:szCs w:val="20"/>
                <w:lang w:eastAsia="it-IT"/>
              </w:rPr>
              <w:tab/>
              <w:t xml:space="preserve">l’elenco analitico delle quote vincolate e accantonate del risultato di amministrazione presunto al 31 dicembre dell’esercizio precedente, distinguendo i vincoli derivanti dalla legge e dai principi contabili, dai trasferimenti, da mutui e altri finanziamenti, vincoli formalmente attribuiti dall’ente; </w:t>
            </w:r>
          </w:p>
          <w:p w14:paraId="745F503E" w14:textId="77777777" w:rsidR="0050356C" w:rsidRPr="00562F69" w:rsidRDefault="0050356C" w:rsidP="002D2A71">
            <w:pPr>
              <w:spacing w:before="60" w:after="120" w:line="240" w:lineRule="auto"/>
              <w:ind w:left="340" w:hanging="274"/>
              <w:rPr>
                <w:rFonts w:eastAsia="Times New Roman" w:cstheme="minorHAnsi"/>
                <w:color w:val="auto"/>
                <w:sz w:val="20"/>
                <w:szCs w:val="20"/>
                <w:lang w:eastAsia="it-IT"/>
              </w:rPr>
            </w:pPr>
            <w:r w:rsidRPr="00562F69">
              <w:rPr>
                <w:rFonts w:eastAsia="Times New Roman" w:cstheme="minorHAnsi"/>
                <w:color w:val="auto"/>
                <w:sz w:val="20"/>
                <w:szCs w:val="20"/>
                <w:lang w:eastAsia="it-IT"/>
              </w:rPr>
              <w:t>c)</w:t>
            </w:r>
            <w:r w:rsidRPr="00562F69">
              <w:rPr>
                <w:rFonts w:eastAsia="Times New Roman" w:cstheme="minorHAnsi"/>
                <w:color w:val="auto"/>
                <w:sz w:val="20"/>
                <w:szCs w:val="20"/>
                <w:lang w:eastAsia="it-IT"/>
              </w:rPr>
              <w:tab/>
              <w:t xml:space="preserve">l’elenco analitico degli utilizzi delle quote vincolate e accantonate del risultato di amministrazione presunto, distinguendo i vincoli derivanti dalla legge e dai principi contabili, dai trasferimenti, da mutui e altri finanziamenti, vincoli formalmente attribuiti dall’ente; </w:t>
            </w:r>
          </w:p>
          <w:p w14:paraId="07963E08" w14:textId="77777777" w:rsidR="0050356C" w:rsidRPr="00562F69" w:rsidRDefault="0050356C" w:rsidP="002D2A71">
            <w:pPr>
              <w:spacing w:before="60" w:after="120" w:line="240" w:lineRule="auto"/>
              <w:ind w:left="340" w:hanging="274"/>
              <w:rPr>
                <w:rFonts w:eastAsia="Times New Roman" w:cstheme="minorHAnsi"/>
                <w:color w:val="auto"/>
                <w:sz w:val="20"/>
                <w:szCs w:val="20"/>
                <w:lang w:eastAsia="it-IT"/>
              </w:rPr>
            </w:pPr>
            <w:r w:rsidRPr="00562F69">
              <w:rPr>
                <w:rFonts w:eastAsia="Times New Roman" w:cstheme="minorHAnsi"/>
                <w:color w:val="auto"/>
                <w:sz w:val="20"/>
                <w:szCs w:val="20"/>
                <w:lang w:eastAsia="it-IT"/>
              </w:rPr>
              <w:t>d)</w:t>
            </w:r>
            <w:r w:rsidRPr="00562F69">
              <w:rPr>
                <w:rFonts w:eastAsia="Times New Roman" w:cstheme="minorHAnsi"/>
                <w:color w:val="auto"/>
                <w:sz w:val="20"/>
                <w:szCs w:val="20"/>
                <w:lang w:eastAsia="it-IT"/>
              </w:rPr>
              <w:tab/>
              <w:t xml:space="preserve">l’elenco degli interventi programmati per spese di investimento finanziati col ricorso al debito e con le risorse disponibili; </w:t>
            </w:r>
          </w:p>
          <w:p w14:paraId="29D674C7" w14:textId="0DA023A9" w:rsidR="0050356C" w:rsidRPr="00562F69" w:rsidRDefault="0050356C" w:rsidP="002D2A71">
            <w:pPr>
              <w:spacing w:before="60" w:after="120" w:line="240" w:lineRule="auto"/>
              <w:ind w:left="340" w:hanging="274"/>
              <w:rPr>
                <w:rFonts w:eastAsia="Times New Roman" w:cstheme="minorHAnsi"/>
                <w:color w:val="auto"/>
                <w:sz w:val="20"/>
                <w:szCs w:val="20"/>
                <w:lang w:eastAsia="it-IT"/>
              </w:rPr>
            </w:pPr>
            <w:r w:rsidRPr="00562F69">
              <w:rPr>
                <w:rFonts w:eastAsia="Times New Roman" w:cstheme="minorHAnsi"/>
                <w:color w:val="auto"/>
                <w:sz w:val="20"/>
                <w:szCs w:val="20"/>
                <w:lang w:eastAsia="it-IT"/>
              </w:rPr>
              <w:t>e)</w:t>
            </w:r>
            <w:r w:rsidRPr="00562F69">
              <w:rPr>
                <w:rFonts w:eastAsia="Times New Roman" w:cstheme="minorHAnsi"/>
                <w:color w:val="auto"/>
                <w:sz w:val="20"/>
                <w:szCs w:val="20"/>
                <w:lang w:eastAsia="it-IT"/>
              </w:rPr>
              <w:tab/>
              <w:t xml:space="preserve">nel caso in cui gli stanziamenti riguardanti il fondo pluriennale vincolato comprendono anche investimenti ancora in corso di definizione, le cause che non hanno reso possibile </w:t>
            </w:r>
            <w:r w:rsidR="003448F7" w:rsidRPr="00562F69">
              <w:rPr>
                <w:rFonts w:eastAsia="Times New Roman" w:cstheme="minorHAnsi"/>
                <w:color w:val="auto"/>
                <w:sz w:val="20"/>
                <w:szCs w:val="20"/>
                <w:lang w:eastAsia="it-IT"/>
              </w:rPr>
              <w:t>attuare</w:t>
            </w:r>
            <w:r w:rsidRPr="00562F69">
              <w:rPr>
                <w:rFonts w:eastAsia="Times New Roman" w:cstheme="minorHAnsi"/>
                <w:color w:val="auto"/>
                <w:sz w:val="20"/>
                <w:szCs w:val="20"/>
                <w:lang w:eastAsia="it-IT"/>
              </w:rPr>
              <w:t xml:space="preserve"> la programmazione necessaria alla definizione dei relativi cronoprogrammi; </w:t>
            </w:r>
          </w:p>
          <w:p w14:paraId="234AAECA" w14:textId="77777777" w:rsidR="0050356C" w:rsidRPr="00562F69" w:rsidRDefault="0050356C" w:rsidP="002D2A71">
            <w:pPr>
              <w:spacing w:before="120" w:after="120" w:line="240" w:lineRule="auto"/>
              <w:ind w:left="340" w:hanging="274"/>
              <w:rPr>
                <w:rFonts w:eastAsia="Times New Roman" w:cstheme="minorHAnsi"/>
                <w:color w:val="auto"/>
                <w:sz w:val="20"/>
                <w:szCs w:val="20"/>
                <w:lang w:eastAsia="it-IT"/>
              </w:rPr>
            </w:pPr>
            <w:r w:rsidRPr="00562F69">
              <w:rPr>
                <w:rFonts w:eastAsia="Times New Roman" w:cstheme="minorHAnsi"/>
                <w:color w:val="auto"/>
                <w:sz w:val="20"/>
                <w:szCs w:val="20"/>
                <w:lang w:eastAsia="it-IT"/>
              </w:rPr>
              <w:t>f)</w:t>
            </w:r>
            <w:r w:rsidRPr="00562F69">
              <w:rPr>
                <w:rFonts w:eastAsia="Times New Roman" w:cstheme="minorHAnsi"/>
                <w:color w:val="auto"/>
                <w:sz w:val="20"/>
                <w:szCs w:val="20"/>
                <w:lang w:eastAsia="it-IT"/>
              </w:rPr>
              <w:tab/>
              <w:t xml:space="preserve">l’elenco delle garanzie principali o sussidiarie prestate dall’ente a favore di enti e di altri soggetti ai sensi delle leggi vigenti; </w:t>
            </w:r>
          </w:p>
          <w:p w14:paraId="03205394" w14:textId="77777777" w:rsidR="0050356C" w:rsidRPr="00562F69" w:rsidRDefault="0050356C" w:rsidP="002D2A71">
            <w:pPr>
              <w:spacing w:before="120" w:after="120" w:line="240" w:lineRule="auto"/>
              <w:ind w:left="340" w:hanging="274"/>
              <w:rPr>
                <w:rFonts w:eastAsia="Times New Roman" w:cstheme="minorHAnsi"/>
                <w:color w:val="auto"/>
                <w:sz w:val="20"/>
                <w:szCs w:val="20"/>
                <w:lang w:eastAsia="it-IT"/>
              </w:rPr>
            </w:pPr>
            <w:r w:rsidRPr="00562F69">
              <w:rPr>
                <w:rFonts w:eastAsia="Times New Roman" w:cstheme="minorHAnsi"/>
                <w:color w:val="auto"/>
                <w:sz w:val="20"/>
                <w:szCs w:val="20"/>
                <w:lang w:eastAsia="it-IT"/>
              </w:rPr>
              <w:t>g)</w:t>
            </w:r>
            <w:r w:rsidRPr="00562F69">
              <w:rPr>
                <w:rFonts w:eastAsia="Times New Roman" w:cstheme="minorHAnsi"/>
                <w:color w:val="auto"/>
                <w:sz w:val="20"/>
                <w:szCs w:val="20"/>
                <w:lang w:eastAsia="it-IT"/>
              </w:rPr>
              <w:tab/>
              <w:t xml:space="preserve">gli oneri e gli impegni finanziari stimati e stanziati in bilancio, derivanti da contratti relativi a strumenti finanziari derivati o da contratti di finanziamento che includono una componente derivata; </w:t>
            </w:r>
          </w:p>
          <w:p w14:paraId="0A33003A" w14:textId="77777777" w:rsidR="0050356C" w:rsidRPr="00562F69" w:rsidRDefault="0050356C" w:rsidP="002D2A71">
            <w:pPr>
              <w:spacing w:before="120" w:after="120" w:line="240" w:lineRule="auto"/>
              <w:ind w:left="340" w:hanging="274"/>
              <w:rPr>
                <w:rFonts w:eastAsia="Times New Roman" w:cstheme="minorHAnsi"/>
                <w:color w:val="auto"/>
                <w:sz w:val="20"/>
                <w:szCs w:val="20"/>
                <w:lang w:eastAsia="it-IT"/>
              </w:rPr>
            </w:pPr>
            <w:r w:rsidRPr="00562F69">
              <w:rPr>
                <w:rFonts w:eastAsia="Times New Roman" w:cstheme="minorHAnsi"/>
                <w:color w:val="auto"/>
                <w:sz w:val="20"/>
                <w:szCs w:val="20"/>
                <w:lang w:eastAsia="it-IT"/>
              </w:rPr>
              <w:t>h)</w:t>
            </w:r>
            <w:r w:rsidRPr="00562F69">
              <w:rPr>
                <w:rFonts w:eastAsia="Times New Roman" w:cstheme="minorHAnsi"/>
                <w:color w:val="auto"/>
                <w:sz w:val="20"/>
                <w:szCs w:val="20"/>
                <w:lang w:eastAsia="it-IT"/>
              </w:rPr>
              <w:tab/>
              <w:t xml:space="preserve">l’elenco dei propri enti ed organismi strumentali, precisando che i relativi bilanci consuntivi sono consultabili nel proprio sito internet fermo restando quanto previsto per gli enti locali dall’art. 172, comma 1, lettera a) del Tuel; </w:t>
            </w:r>
          </w:p>
          <w:p w14:paraId="619C7209" w14:textId="77777777" w:rsidR="0050356C" w:rsidRPr="00562F69" w:rsidRDefault="0050356C" w:rsidP="002D2A71">
            <w:pPr>
              <w:spacing w:before="120" w:after="120" w:line="240" w:lineRule="auto"/>
              <w:ind w:left="340" w:hanging="274"/>
              <w:rPr>
                <w:rFonts w:eastAsia="Times New Roman" w:cstheme="minorHAnsi"/>
                <w:color w:val="auto"/>
                <w:lang w:eastAsia="it-IT"/>
              </w:rPr>
            </w:pPr>
            <w:r w:rsidRPr="00562F69">
              <w:rPr>
                <w:rFonts w:eastAsia="Times New Roman" w:cstheme="minorHAnsi"/>
                <w:color w:val="auto"/>
                <w:lang w:eastAsia="it-IT"/>
              </w:rPr>
              <w:t>i)</w:t>
            </w:r>
            <w:r w:rsidRPr="00562F69">
              <w:rPr>
                <w:rFonts w:eastAsia="Times New Roman" w:cstheme="minorHAnsi"/>
                <w:color w:val="auto"/>
                <w:lang w:eastAsia="it-IT"/>
              </w:rPr>
              <w:tab/>
            </w:r>
            <w:r w:rsidRPr="00562F69">
              <w:rPr>
                <w:rFonts w:eastAsia="Times New Roman" w:cstheme="minorHAnsi"/>
                <w:color w:val="auto"/>
                <w:sz w:val="20"/>
                <w:szCs w:val="20"/>
                <w:lang w:eastAsia="it-IT"/>
              </w:rPr>
              <w:t xml:space="preserve">l’elenco delle partecipazioni possedute con l’indicazione della relativa quota percentuale; </w:t>
            </w:r>
          </w:p>
          <w:p w14:paraId="49CFA03F" w14:textId="77777777" w:rsidR="0050356C" w:rsidRPr="00290A6B" w:rsidRDefault="0050356C" w:rsidP="002D2A71">
            <w:pPr>
              <w:spacing w:before="120" w:after="120" w:line="240" w:lineRule="auto"/>
              <w:ind w:left="343" w:hanging="274"/>
              <w:rPr>
                <w:rFonts w:ascii="Arial" w:eastAsia="Times New Roman" w:hAnsi="Arial" w:cs="Arial"/>
                <w:lang w:eastAsia="it-IT"/>
              </w:rPr>
            </w:pPr>
            <w:r w:rsidRPr="00562F69">
              <w:rPr>
                <w:rFonts w:eastAsia="Times New Roman" w:cstheme="minorHAnsi"/>
                <w:color w:val="auto"/>
                <w:lang w:eastAsia="it-IT"/>
              </w:rPr>
              <w:t>j)</w:t>
            </w:r>
            <w:r w:rsidRPr="00562F69">
              <w:rPr>
                <w:rFonts w:eastAsia="Times New Roman" w:cstheme="minorHAnsi"/>
                <w:color w:val="auto"/>
                <w:lang w:eastAsia="it-IT"/>
              </w:rPr>
              <w:tab/>
            </w:r>
            <w:r w:rsidRPr="00562F69">
              <w:rPr>
                <w:rFonts w:eastAsia="Times New Roman" w:cstheme="minorHAnsi"/>
                <w:color w:val="auto"/>
                <w:sz w:val="20"/>
                <w:szCs w:val="20"/>
                <w:lang w:eastAsia="it-IT"/>
              </w:rPr>
              <w:t>altre informazioni riguardanti le previsioni, richieste dalla legge o necessarie per l’interpretazione del bilancio.</w:t>
            </w:r>
          </w:p>
        </w:tc>
        <w:tc>
          <w:tcPr>
            <w:tcW w:w="1134" w:type="dxa"/>
          </w:tcPr>
          <w:p w14:paraId="3D436B67" w14:textId="77777777" w:rsidR="0050356C" w:rsidRPr="00290A6B" w:rsidRDefault="0050356C" w:rsidP="002D2A71">
            <w:pPr>
              <w:spacing w:after="0" w:line="240" w:lineRule="auto"/>
              <w:rPr>
                <w:rFonts w:ascii="Arial" w:eastAsia="Times New Roman" w:hAnsi="Arial" w:cs="Arial"/>
                <w:b/>
                <w:lang w:eastAsia="it-IT"/>
              </w:rPr>
            </w:pPr>
          </w:p>
        </w:tc>
        <w:tc>
          <w:tcPr>
            <w:tcW w:w="1276" w:type="dxa"/>
          </w:tcPr>
          <w:p w14:paraId="5E7C1214" w14:textId="77777777" w:rsidR="0050356C" w:rsidRPr="00290A6B" w:rsidRDefault="0050356C" w:rsidP="002D2A71">
            <w:pPr>
              <w:spacing w:after="0" w:line="240" w:lineRule="auto"/>
              <w:rPr>
                <w:rFonts w:ascii="Arial" w:eastAsia="Times New Roman" w:hAnsi="Arial" w:cs="Arial"/>
                <w:b/>
                <w:lang w:eastAsia="it-IT"/>
              </w:rPr>
            </w:pPr>
          </w:p>
        </w:tc>
        <w:tc>
          <w:tcPr>
            <w:tcW w:w="1588" w:type="dxa"/>
          </w:tcPr>
          <w:p w14:paraId="58CE63ED" w14:textId="77777777" w:rsidR="0050356C" w:rsidRPr="00290A6B" w:rsidRDefault="0050356C" w:rsidP="002D2A71">
            <w:pPr>
              <w:spacing w:after="0" w:line="240" w:lineRule="auto"/>
              <w:rPr>
                <w:rFonts w:ascii="Arial" w:eastAsia="Times New Roman" w:hAnsi="Arial" w:cs="Arial"/>
                <w:b/>
                <w:lang w:eastAsia="it-IT"/>
              </w:rPr>
            </w:pPr>
          </w:p>
        </w:tc>
      </w:tr>
    </w:tbl>
    <w:p w14:paraId="2436D8DF" w14:textId="77777777" w:rsidR="0050356C" w:rsidRDefault="0050356C" w:rsidP="0050356C">
      <w:pPr>
        <w:spacing w:after="0" w:line="240" w:lineRule="auto"/>
        <w:rPr>
          <w:rFonts w:ascii="Arial" w:eastAsia="Times New Roman" w:hAnsi="Arial" w:cs="Arial"/>
          <w:b/>
          <w:lang w:eastAsia="it-IT"/>
        </w:rPr>
      </w:pPr>
    </w:p>
    <w:p w14:paraId="078792E2" w14:textId="77777777" w:rsidR="00112A54" w:rsidRPr="00290A6B" w:rsidRDefault="00112A54" w:rsidP="0050356C">
      <w:pPr>
        <w:spacing w:after="0" w:line="240" w:lineRule="auto"/>
        <w:rPr>
          <w:rFonts w:ascii="Arial" w:eastAsia="Times New Roman" w:hAnsi="Arial" w:cs="Arial"/>
          <w:b/>
          <w:lang w:eastAsia="it-IT"/>
        </w:rPr>
      </w:pPr>
    </w:p>
    <w:tbl>
      <w:tblPr>
        <w:tblW w:w="9581" w:type="dxa"/>
        <w:tblInd w:w="-372" w:type="dxa"/>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Layout w:type="fixed"/>
        <w:tblCellMar>
          <w:left w:w="54" w:type="dxa"/>
          <w:right w:w="54" w:type="dxa"/>
        </w:tblCellMar>
        <w:tblLook w:val="0000" w:firstRow="0" w:lastRow="0" w:firstColumn="0" w:lastColumn="0" w:noHBand="0" w:noVBand="0"/>
      </w:tblPr>
      <w:tblGrid>
        <w:gridCol w:w="5026"/>
        <w:gridCol w:w="4555"/>
      </w:tblGrid>
      <w:tr w:rsidR="0050356C" w:rsidRPr="00290A6B" w14:paraId="72A2F5DC" w14:textId="77777777" w:rsidTr="0050356C">
        <w:trPr>
          <w:cantSplit/>
          <w:trHeight w:val="231"/>
        </w:trPr>
        <w:tc>
          <w:tcPr>
            <w:tcW w:w="5026" w:type="dxa"/>
            <w:vMerge w:val="restart"/>
            <w:shd w:val="clear" w:color="auto" w:fill="auto"/>
            <w:vAlign w:val="center"/>
          </w:tcPr>
          <w:p w14:paraId="672AB55B" w14:textId="77777777" w:rsidR="0050356C" w:rsidRPr="003B5E60" w:rsidRDefault="0050356C" w:rsidP="002D2A71">
            <w:pPr>
              <w:widowControl w:val="0"/>
              <w:spacing w:after="0" w:line="240" w:lineRule="auto"/>
              <w:rPr>
                <w:rFonts w:eastAsia="Times New Roman" w:cstheme="minorHAnsi"/>
                <w:b/>
                <w:snapToGrid w:val="0"/>
                <w:lang w:eastAsia="it-IT"/>
              </w:rPr>
            </w:pPr>
            <w:r w:rsidRPr="003B5E60">
              <w:rPr>
                <w:rFonts w:eastAsia="Times New Roman" w:cstheme="minorHAnsi"/>
                <w:b/>
                <w:snapToGrid w:val="0"/>
                <w:lang w:eastAsia="it-IT"/>
              </w:rPr>
              <w:lastRenderedPageBreak/>
              <w:t>CONCLUSIONI PER L’AREA:</w:t>
            </w:r>
          </w:p>
          <w:p w14:paraId="6C7C614D" w14:textId="77777777" w:rsidR="0050356C" w:rsidRPr="003B5E60" w:rsidRDefault="0050356C" w:rsidP="002D2A71">
            <w:pPr>
              <w:widowControl w:val="0"/>
              <w:spacing w:after="0" w:line="240" w:lineRule="auto"/>
              <w:rPr>
                <w:rFonts w:eastAsia="Times New Roman" w:cstheme="minorHAnsi"/>
                <w:b/>
                <w:snapToGrid w:val="0"/>
                <w:lang w:eastAsia="it-IT"/>
              </w:rPr>
            </w:pPr>
            <w:r w:rsidRPr="003B5E60">
              <w:rPr>
                <w:rFonts w:eastAsia="Times New Roman" w:cstheme="minorHAnsi"/>
                <w:b/>
                <w:snapToGrid w:val="0"/>
                <w:lang w:eastAsia="it-IT"/>
              </w:rPr>
              <w:t>(considerazioni conclusive a valle della comprensione di cui sopra)</w:t>
            </w:r>
          </w:p>
        </w:tc>
        <w:tc>
          <w:tcPr>
            <w:tcW w:w="4555" w:type="dxa"/>
            <w:shd w:val="clear" w:color="auto" w:fill="auto"/>
          </w:tcPr>
          <w:p w14:paraId="7AADA514"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0DE18662" w14:textId="77777777" w:rsidTr="0050356C">
        <w:trPr>
          <w:cantSplit/>
          <w:trHeight w:val="263"/>
        </w:trPr>
        <w:tc>
          <w:tcPr>
            <w:tcW w:w="5026" w:type="dxa"/>
            <w:vMerge/>
            <w:shd w:val="clear" w:color="auto" w:fill="auto"/>
            <w:vAlign w:val="center"/>
          </w:tcPr>
          <w:p w14:paraId="70BEF407" w14:textId="77777777" w:rsidR="0050356C" w:rsidRPr="003B5E60" w:rsidRDefault="0050356C" w:rsidP="002D2A71">
            <w:pPr>
              <w:widowControl w:val="0"/>
              <w:spacing w:after="0" w:line="240" w:lineRule="auto"/>
              <w:rPr>
                <w:rFonts w:eastAsia="Times New Roman" w:cstheme="minorHAnsi"/>
                <w:b/>
                <w:snapToGrid w:val="0"/>
                <w:lang w:eastAsia="it-IT"/>
              </w:rPr>
            </w:pPr>
          </w:p>
        </w:tc>
        <w:tc>
          <w:tcPr>
            <w:tcW w:w="4555" w:type="dxa"/>
            <w:shd w:val="clear" w:color="auto" w:fill="auto"/>
          </w:tcPr>
          <w:p w14:paraId="68A49B2A"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3F9F7990" w14:textId="77777777" w:rsidTr="0050356C">
        <w:trPr>
          <w:cantSplit/>
          <w:trHeight w:val="263"/>
        </w:trPr>
        <w:tc>
          <w:tcPr>
            <w:tcW w:w="5026" w:type="dxa"/>
            <w:vMerge/>
            <w:shd w:val="clear" w:color="auto" w:fill="auto"/>
            <w:vAlign w:val="center"/>
          </w:tcPr>
          <w:p w14:paraId="1FED1533" w14:textId="77777777" w:rsidR="0050356C" w:rsidRPr="003B5E60" w:rsidRDefault="0050356C" w:rsidP="002D2A71">
            <w:pPr>
              <w:widowControl w:val="0"/>
              <w:spacing w:after="0" w:line="240" w:lineRule="auto"/>
              <w:rPr>
                <w:rFonts w:eastAsia="Times New Roman" w:cstheme="minorHAnsi"/>
                <w:b/>
                <w:snapToGrid w:val="0"/>
                <w:lang w:eastAsia="it-IT"/>
              </w:rPr>
            </w:pPr>
          </w:p>
        </w:tc>
        <w:tc>
          <w:tcPr>
            <w:tcW w:w="4555" w:type="dxa"/>
            <w:shd w:val="clear" w:color="auto" w:fill="auto"/>
          </w:tcPr>
          <w:p w14:paraId="655316D3"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28B33BB2" w14:textId="77777777" w:rsidTr="0050356C">
        <w:trPr>
          <w:cantSplit/>
          <w:trHeight w:val="231"/>
        </w:trPr>
        <w:tc>
          <w:tcPr>
            <w:tcW w:w="5026" w:type="dxa"/>
            <w:vMerge w:val="restart"/>
            <w:shd w:val="clear" w:color="auto" w:fill="auto"/>
            <w:vAlign w:val="center"/>
          </w:tcPr>
          <w:p w14:paraId="64076C24" w14:textId="77777777" w:rsidR="0050356C" w:rsidRPr="003B5E60" w:rsidRDefault="0050356C" w:rsidP="002D2A71">
            <w:pPr>
              <w:widowControl w:val="0"/>
              <w:spacing w:after="0" w:line="240" w:lineRule="auto"/>
              <w:rPr>
                <w:rFonts w:eastAsia="Times New Roman" w:cstheme="minorHAnsi"/>
                <w:b/>
                <w:snapToGrid w:val="0"/>
                <w:lang w:eastAsia="it-IT"/>
              </w:rPr>
            </w:pPr>
            <w:r w:rsidRPr="003B5E60">
              <w:rPr>
                <w:rFonts w:eastAsia="Times New Roman" w:cstheme="minorHAnsi"/>
                <w:b/>
                <w:snapToGrid w:val="0"/>
                <w:lang w:eastAsia="it-IT"/>
              </w:rPr>
              <w:t>RISPOSTA DI REVISIONE:</w:t>
            </w:r>
          </w:p>
          <w:p w14:paraId="0BCC9153" w14:textId="77777777" w:rsidR="0050356C" w:rsidRPr="003B5E60" w:rsidRDefault="0050356C" w:rsidP="002D2A71">
            <w:pPr>
              <w:widowControl w:val="0"/>
              <w:spacing w:after="0" w:line="240" w:lineRule="auto"/>
              <w:rPr>
                <w:rFonts w:eastAsia="Times New Roman" w:cstheme="minorHAnsi"/>
                <w:b/>
                <w:snapToGrid w:val="0"/>
                <w:lang w:eastAsia="it-IT"/>
              </w:rPr>
            </w:pPr>
            <w:r w:rsidRPr="003B5E60">
              <w:rPr>
                <w:rFonts w:eastAsia="Times New Roman" w:cstheme="minorHAnsi"/>
                <w:b/>
                <w:snapToGrid w:val="0"/>
                <w:lang w:eastAsia="it-IT"/>
              </w:rPr>
              <w:t>(procedure di revisione aggiuntive da dettagliare in fase di esecuzione della strategia di dettaglio)</w:t>
            </w:r>
          </w:p>
        </w:tc>
        <w:tc>
          <w:tcPr>
            <w:tcW w:w="4555" w:type="dxa"/>
            <w:shd w:val="clear" w:color="auto" w:fill="auto"/>
          </w:tcPr>
          <w:p w14:paraId="41EFD460"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3A1879BD" w14:textId="77777777" w:rsidTr="0050356C">
        <w:trPr>
          <w:cantSplit/>
          <w:trHeight w:val="263"/>
        </w:trPr>
        <w:tc>
          <w:tcPr>
            <w:tcW w:w="5026" w:type="dxa"/>
            <w:vMerge/>
            <w:shd w:val="clear" w:color="auto" w:fill="auto"/>
            <w:vAlign w:val="center"/>
          </w:tcPr>
          <w:p w14:paraId="7F05E6D0" w14:textId="77777777" w:rsidR="0050356C" w:rsidRPr="003B5E60" w:rsidRDefault="0050356C" w:rsidP="002D2A71">
            <w:pPr>
              <w:widowControl w:val="0"/>
              <w:spacing w:after="0" w:line="240" w:lineRule="auto"/>
              <w:rPr>
                <w:rFonts w:eastAsia="Times New Roman" w:cstheme="minorHAnsi"/>
                <w:b/>
                <w:snapToGrid w:val="0"/>
                <w:lang w:eastAsia="it-IT"/>
              </w:rPr>
            </w:pPr>
          </w:p>
        </w:tc>
        <w:tc>
          <w:tcPr>
            <w:tcW w:w="4555" w:type="dxa"/>
            <w:shd w:val="clear" w:color="auto" w:fill="auto"/>
          </w:tcPr>
          <w:p w14:paraId="2074C0E3"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0D26602D" w14:textId="77777777" w:rsidTr="0050356C">
        <w:trPr>
          <w:cantSplit/>
          <w:trHeight w:val="263"/>
        </w:trPr>
        <w:tc>
          <w:tcPr>
            <w:tcW w:w="5026" w:type="dxa"/>
            <w:vMerge/>
            <w:shd w:val="clear" w:color="auto" w:fill="auto"/>
            <w:vAlign w:val="center"/>
          </w:tcPr>
          <w:p w14:paraId="5803271E" w14:textId="77777777" w:rsidR="0050356C" w:rsidRPr="003B5E60" w:rsidRDefault="0050356C" w:rsidP="002D2A71">
            <w:pPr>
              <w:widowControl w:val="0"/>
              <w:spacing w:after="0" w:line="240" w:lineRule="auto"/>
              <w:rPr>
                <w:rFonts w:eastAsia="Times New Roman" w:cstheme="minorHAnsi"/>
                <w:b/>
                <w:snapToGrid w:val="0"/>
                <w:lang w:eastAsia="it-IT"/>
              </w:rPr>
            </w:pPr>
          </w:p>
        </w:tc>
        <w:tc>
          <w:tcPr>
            <w:tcW w:w="4555" w:type="dxa"/>
            <w:shd w:val="clear" w:color="auto" w:fill="auto"/>
          </w:tcPr>
          <w:p w14:paraId="0C00937A"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1FD1927D" w14:textId="77777777" w:rsidTr="0050356C">
        <w:trPr>
          <w:cantSplit/>
          <w:trHeight w:val="231"/>
        </w:trPr>
        <w:tc>
          <w:tcPr>
            <w:tcW w:w="5026" w:type="dxa"/>
            <w:vMerge w:val="restart"/>
            <w:shd w:val="clear" w:color="auto" w:fill="auto"/>
            <w:vAlign w:val="center"/>
          </w:tcPr>
          <w:p w14:paraId="14446250" w14:textId="77777777" w:rsidR="0050356C" w:rsidRPr="003B5E60" w:rsidRDefault="0050356C" w:rsidP="002D2A71">
            <w:pPr>
              <w:widowControl w:val="0"/>
              <w:spacing w:after="0" w:line="240" w:lineRule="auto"/>
              <w:rPr>
                <w:rFonts w:eastAsia="Times New Roman" w:cstheme="minorHAnsi"/>
                <w:b/>
                <w:snapToGrid w:val="0"/>
                <w:lang w:eastAsia="it-IT"/>
              </w:rPr>
            </w:pPr>
            <w:r w:rsidRPr="003B5E60">
              <w:rPr>
                <w:rFonts w:eastAsia="Times New Roman" w:cstheme="minorHAnsi"/>
                <w:b/>
                <w:snapToGrid w:val="0"/>
                <w:lang w:eastAsia="it-IT"/>
              </w:rPr>
              <w:t>RISCHI SULL’AREA:</w:t>
            </w:r>
          </w:p>
        </w:tc>
        <w:tc>
          <w:tcPr>
            <w:tcW w:w="4555" w:type="dxa"/>
            <w:shd w:val="clear" w:color="auto" w:fill="auto"/>
          </w:tcPr>
          <w:p w14:paraId="1E7C40E0"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34FE28C3" w14:textId="77777777" w:rsidTr="0050356C">
        <w:trPr>
          <w:cantSplit/>
          <w:trHeight w:val="263"/>
        </w:trPr>
        <w:tc>
          <w:tcPr>
            <w:tcW w:w="5026" w:type="dxa"/>
            <w:vMerge/>
            <w:shd w:val="clear" w:color="auto" w:fill="auto"/>
          </w:tcPr>
          <w:p w14:paraId="45ED9954" w14:textId="77777777" w:rsidR="0050356C" w:rsidRPr="00290A6B" w:rsidRDefault="0050356C" w:rsidP="002D2A71">
            <w:pPr>
              <w:widowControl w:val="0"/>
              <w:spacing w:after="0" w:line="240" w:lineRule="auto"/>
              <w:rPr>
                <w:rFonts w:ascii="Arial" w:eastAsia="Times New Roman" w:hAnsi="Arial" w:cs="Arial"/>
                <w:b/>
                <w:snapToGrid w:val="0"/>
                <w:lang w:eastAsia="it-IT"/>
              </w:rPr>
            </w:pPr>
          </w:p>
        </w:tc>
        <w:tc>
          <w:tcPr>
            <w:tcW w:w="4555" w:type="dxa"/>
            <w:shd w:val="clear" w:color="auto" w:fill="auto"/>
          </w:tcPr>
          <w:p w14:paraId="47201623"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413CBDA5" w14:textId="77777777" w:rsidTr="0050356C">
        <w:trPr>
          <w:cantSplit/>
          <w:trHeight w:val="252"/>
        </w:trPr>
        <w:tc>
          <w:tcPr>
            <w:tcW w:w="5026" w:type="dxa"/>
            <w:vMerge/>
            <w:shd w:val="clear" w:color="auto" w:fill="auto"/>
          </w:tcPr>
          <w:p w14:paraId="156E97D6" w14:textId="77777777" w:rsidR="0050356C" w:rsidRPr="00290A6B" w:rsidRDefault="0050356C" w:rsidP="002D2A71">
            <w:pPr>
              <w:widowControl w:val="0"/>
              <w:spacing w:after="0" w:line="240" w:lineRule="auto"/>
              <w:rPr>
                <w:rFonts w:ascii="Arial" w:eastAsia="Times New Roman" w:hAnsi="Arial" w:cs="Arial"/>
                <w:b/>
                <w:snapToGrid w:val="0"/>
                <w:lang w:eastAsia="it-IT"/>
              </w:rPr>
            </w:pPr>
          </w:p>
        </w:tc>
        <w:tc>
          <w:tcPr>
            <w:tcW w:w="4555" w:type="dxa"/>
            <w:shd w:val="clear" w:color="auto" w:fill="auto"/>
          </w:tcPr>
          <w:p w14:paraId="4EC39BCC"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bl>
    <w:p w14:paraId="5244494B" w14:textId="77777777" w:rsidR="0050356C" w:rsidRPr="003B5E60" w:rsidRDefault="0050356C" w:rsidP="0050356C">
      <w:pPr>
        <w:spacing w:before="100" w:beforeAutospacing="1" w:after="100" w:afterAutospacing="1" w:line="360" w:lineRule="auto"/>
        <w:rPr>
          <w:rFonts w:eastAsia="MS Mincho" w:cstheme="minorHAnsi"/>
          <w:lang w:eastAsia="it-IT"/>
        </w:rPr>
      </w:pPr>
      <w:r w:rsidRPr="003B5E60">
        <w:rPr>
          <w:rFonts w:eastAsia="MS Mincho" w:cstheme="minorHAnsi"/>
          <w:lang w:eastAsia="it-IT"/>
        </w:rPr>
        <w:t>Data: _______     Firma: _________________________</w:t>
      </w:r>
    </w:p>
    <w:p w14:paraId="2728BC42" w14:textId="77777777" w:rsidR="0050356C" w:rsidRDefault="0050356C" w:rsidP="0050356C">
      <w:pPr>
        <w:spacing w:after="0" w:line="240" w:lineRule="auto"/>
        <w:rPr>
          <w:rFonts w:eastAsia="Times New Roman" w:cstheme="minorHAnsi"/>
          <w:b/>
          <w:lang w:eastAsia="it-IT"/>
        </w:rPr>
      </w:pPr>
    </w:p>
    <w:p w14:paraId="20BCA0BC" w14:textId="6B012D03" w:rsidR="0050356C" w:rsidRPr="003B5E60" w:rsidRDefault="0050356C" w:rsidP="0050356C">
      <w:pPr>
        <w:spacing w:after="0" w:line="240" w:lineRule="auto"/>
        <w:rPr>
          <w:rFonts w:eastAsia="Times New Roman" w:cstheme="minorHAnsi"/>
          <w:b/>
          <w:lang w:eastAsia="it-IT"/>
        </w:rPr>
      </w:pPr>
      <w:r w:rsidRPr="003B5E60">
        <w:rPr>
          <w:rFonts w:eastAsia="Times New Roman" w:cstheme="minorHAnsi"/>
          <w:b/>
          <w:lang w:eastAsia="it-IT"/>
        </w:rPr>
        <w:t>Nota metodologica:</w:t>
      </w:r>
    </w:p>
    <w:p w14:paraId="7F6F01A4" w14:textId="77777777" w:rsidR="0050356C" w:rsidRPr="003B5E60" w:rsidRDefault="0050356C" w:rsidP="0050356C">
      <w:pPr>
        <w:spacing w:before="100" w:beforeAutospacing="1" w:after="100" w:afterAutospacing="1" w:line="240" w:lineRule="auto"/>
        <w:rPr>
          <w:rFonts w:eastAsia="Times New Roman" w:cstheme="minorHAnsi"/>
          <w:i/>
          <w:iCs/>
          <w:lang w:eastAsia="it-IT"/>
        </w:rPr>
      </w:pPr>
      <w:r w:rsidRPr="003B5E60">
        <w:rPr>
          <w:rFonts w:eastAsia="Times New Roman" w:cstheme="minorHAnsi"/>
          <w:i/>
          <w:iCs/>
          <w:lang w:eastAsia="it-IT"/>
        </w:rPr>
        <w:t>Il Principio contabile Allegato 4/1 ai seguenti paragrafi precisa:</w:t>
      </w:r>
    </w:p>
    <w:p w14:paraId="609EFD5E" w14:textId="77777777" w:rsidR="0050356C" w:rsidRPr="003B5E60" w:rsidRDefault="0050356C" w:rsidP="0050356C">
      <w:pPr>
        <w:spacing w:after="0" w:line="240" w:lineRule="auto"/>
        <w:ind w:left="709" w:hanging="709"/>
        <w:rPr>
          <w:rFonts w:eastAsia="Times New Roman" w:cstheme="minorHAnsi"/>
          <w:i/>
          <w:iCs/>
          <w:lang w:eastAsia="it-IT"/>
        </w:rPr>
      </w:pPr>
      <w:r w:rsidRPr="00C466DF">
        <w:rPr>
          <w:rFonts w:eastAsia="Times New Roman" w:cstheme="minorHAnsi"/>
          <w:b/>
          <w:lang w:eastAsia="it-IT"/>
        </w:rPr>
        <w:t>§ 9.11.2</w:t>
      </w:r>
      <w:r w:rsidRPr="003B5E60">
        <w:rPr>
          <w:rFonts w:eastAsia="Times New Roman" w:cstheme="minorHAnsi"/>
          <w:i/>
          <w:iCs/>
          <w:lang w:eastAsia="it-IT"/>
        </w:rPr>
        <w:t xml:space="preserve"> La prima parte della nota integrativa riguarda criteri adottati per la determinazione degli stanziamenti di entrata e di spesa di ciascun esercizio finanziario considerato nel bilancio. Per le entrate una particolare attenzione è dedicata alle previsioni riguardanti le principali imposte e tasse, agli effetti connessi alle disposizioni normative vigenti, con separata indicazione di quelle oggetto di prima applicazione e di quelle recanti esenzioni o riduzioni, con l’indicazione della natura delle agevolazioni, dei soggetti e delle categorie dei beneficiari e degli obiettivi perseguiti. </w:t>
      </w:r>
    </w:p>
    <w:p w14:paraId="4E6AE4AD" w14:textId="77777777" w:rsidR="0050356C" w:rsidRPr="003B5E60" w:rsidRDefault="0050356C" w:rsidP="0050356C">
      <w:pPr>
        <w:spacing w:after="0" w:line="240" w:lineRule="auto"/>
        <w:ind w:left="709"/>
        <w:rPr>
          <w:rFonts w:eastAsia="Times New Roman" w:cstheme="minorHAnsi"/>
          <w:i/>
          <w:iCs/>
          <w:lang w:eastAsia="it-IT"/>
        </w:rPr>
      </w:pPr>
      <w:r w:rsidRPr="003B5E60">
        <w:rPr>
          <w:rFonts w:eastAsia="Times New Roman" w:cstheme="minorHAnsi"/>
          <w:i/>
          <w:iCs/>
          <w:lang w:eastAsia="it-IT"/>
        </w:rPr>
        <w:t>Per la spesa, relativamente al contenuto di ciascun programma di spesa,   la nota integrativa illustra i criteri di formulazione delle previsioni, con riguardo, in particolare:</w:t>
      </w:r>
    </w:p>
    <w:p w14:paraId="75D39F67" w14:textId="77777777" w:rsidR="0050356C" w:rsidRPr="003B5E60" w:rsidRDefault="0050356C" w:rsidP="0050356C">
      <w:pPr>
        <w:numPr>
          <w:ilvl w:val="0"/>
          <w:numId w:val="41"/>
        </w:numPr>
        <w:spacing w:after="0" w:line="240" w:lineRule="auto"/>
        <w:ind w:left="1134" w:hanging="283"/>
        <w:contextualSpacing/>
        <w:rPr>
          <w:rFonts w:eastAsia="Times New Roman" w:cstheme="minorHAnsi"/>
          <w:i/>
          <w:iCs/>
          <w:lang w:eastAsia="it-IT"/>
        </w:rPr>
      </w:pPr>
      <w:r w:rsidRPr="003B5E60">
        <w:rPr>
          <w:rFonts w:eastAsia="Times New Roman" w:cstheme="minorHAnsi"/>
          <w:i/>
          <w:iCs/>
          <w:lang w:eastAsia="it-IT"/>
        </w:rPr>
        <w:t>alle varie tipologie di spesa e ai relativi riferimenti legislativi, con indicazione dei corrispondenti stanziamenti del bilancio triennale;</w:t>
      </w:r>
    </w:p>
    <w:p w14:paraId="52973B76" w14:textId="77777777" w:rsidR="0050356C" w:rsidRPr="003B5E60" w:rsidRDefault="0050356C" w:rsidP="0050356C">
      <w:pPr>
        <w:numPr>
          <w:ilvl w:val="0"/>
          <w:numId w:val="41"/>
        </w:numPr>
        <w:spacing w:after="0" w:line="240" w:lineRule="auto"/>
        <w:ind w:left="1134" w:hanging="283"/>
        <w:contextualSpacing/>
        <w:rPr>
          <w:rFonts w:eastAsia="Times New Roman" w:cstheme="minorHAnsi"/>
          <w:i/>
          <w:iCs/>
          <w:lang w:eastAsia="it-IT"/>
        </w:rPr>
      </w:pPr>
      <w:r w:rsidRPr="003B5E60">
        <w:rPr>
          <w:rFonts w:eastAsia="Times New Roman" w:cstheme="minorHAnsi"/>
          <w:i/>
          <w:iCs/>
          <w:lang w:eastAsia="it-IT"/>
        </w:rPr>
        <w:t xml:space="preserve">agli stanziamenti riguardanti gli accantonamenti ai fondi spese e ai fondi rischi, con particolare riferimento al fondo crediti di dubbia esigibilità. </w:t>
      </w:r>
    </w:p>
    <w:p w14:paraId="0ED10040" w14:textId="77777777" w:rsidR="0050356C" w:rsidRPr="003B5E60" w:rsidRDefault="0050356C" w:rsidP="0050356C">
      <w:pPr>
        <w:spacing w:after="0" w:line="240" w:lineRule="auto"/>
        <w:rPr>
          <w:rFonts w:eastAsia="Times New Roman" w:cstheme="minorHAnsi"/>
          <w:i/>
          <w:iCs/>
          <w:lang w:eastAsia="it-IT"/>
        </w:rPr>
      </w:pPr>
    </w:p>
    <w:p w14:paraId="03035DB0" w14:textId="77777777" w:rsidR="0050356C" w:rsidRPr="003B5E60" w:rsidRDefault="0050356C" w:rsidP="0050356C">
      <w:pPr>
        <w:spacing w:after="0" w:line="240" w:lineRule="auto"/>
        <w:ind w:left="709" w:hanging="709"/>
        <w:rPr>
          <w:rFonts w:eastAsia="Times New Roman" w:cstheme="minorHAnsi"/>
          <w:i/>
          <w:iCs/>
          <w:lang w:eastAsia="zh-TW"/>
        </w:rPr>
      </w:pPr>
      <w:r w:rsidRPr="00C466DF">
        <w:rPr>
          <w:rFonts w:eastAsia="Times New Roman" w:cstheme="minorHAnsi"/>
          <w:b/>
          <w:lang w:eastAsia="it-IT"/>
        </w:rPr>
        <w:t>§ 9.11.3</w:t>
      </w:r>
      <w:r w:rsidRPr="00C466DF">
        <w:rPr>
          <w:rFonts w:eastAsia="Times New Roman" w:cstheme="minorHAnsi"/>
          <w:lang w:eastAsia="it-IT"/>
        </w:rPr>
        <w:t xml:space="preserve"> </w:t>
      </w:r>
      <w:r w:rsidRPr="003B5E60">
        <w:rPr>
          <w:rFonts w:eastAsia="Times New Roman" w:cstheme="minorHAnsi"/>
          <w:i/>
          <w:iCs/>
          <w:lang w:eastAsia="it-IT"/>
        </w:rPr>
        <w:t xml:space="preserve">La nota analizza altresì l’articolazione e la relazione tra le entrate e le spese ricorrenti e quelle non ricorrenti. Al riguardo si ricorda che le entrate sono distinte in ricorrenti e non ricorrenti </w:t>
      </w:r>
      <w:r w:rsidRPr="003B5E60">
        <w:rPr>
          <w:rFonts w:eastAsia="Times New Roman" w:cstheme="minorHAnsi"/>
          <w:i/>
          <w:iCs/>
          <w:lang w:eastAsia="zh-TW"/>
        </w:rPr>
        <w:t>a seconda se l’acquisizione dell’entrata sia prevista a regime ovvero limitata ad uno o più esercizi, e le spese sono distinte in ricorrente e non ricorrente, a seconda se la spesa sia prevista a regime o limitata ad uno o più esercizi.</w:t>
      </w:r>
    </w:p>
    <w:p w14:paraId="332DD286" w14:textId="77777777" w:rsidR="0050356C" w:rsidRPr="003B5E60" w:rsidRDefault="0050356C" w:rsidP="0050356C">
      <w:pPr>
        <w:tabs>
          <w:tab w:val="left" w:pos="993"/>
        </w:tabs>
        <w:spacing w:after="0" w:line="240" w:lineRule="auto"/>
        <w:ind w:left="709" w:right="-2"/>
        <w:contextualSpacing/>
        <w:rPr>
          <w:rFonts w:eastAsia="Times New Roman" w:cstheme="minorHAnsi"/>
          <w:i/>
          <w:iCs/>
          <w:lang w:eastAsia="zh-TW"/>
        </w:rPr>
      </w:pPr>
      <w:r w:rsidRPr="003B5E60">
        <w:rPr>
          <w:rFonts w:eastAsia="Times New Roman" w:cstheme="minorHAnsi"/>
          <w:i/>
          <w:iCs/>
          <w:lang w:eastAsia="zh-TW"/>
        </w:rPr>
        <w:t xml:space="preserve">Sono, in ogni caso, da considerarsi non ricorrenti le entrate riguardanti: </w:t>
      </w:r>
    </w:p>
    <w:p w14:paraId="7FF23140" w14:textId="77777777" w:rsidR="0050356C" w:rsidRPr="003B5E60" w:rsidRDefault="0050356C" w:rsidP="0050356C">
      <w:pPr>
        <w:numPr>
          <w:ilvl w:val="0"/>
          <w:numId w:val="42"/>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donazioni, sanatorie, abusi edilizi e sanzioni;</w:t>
      </w:r>
    </w:p>
    <w:p w14:paraId="09585B8A" w14:textId="77777777" w:rsidR="0050356C" w:rsidRPr="003B5E60" w:rsidRDefault="0050356C" w:rsidP="0050356C">
      <w:pPr>
        <w:numPr>
          <w:ilvl w:val="0"/>
          <w:numId w:val="42"/>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condoni;</w:t>
      </w:r>
    </w:p>
    <w:p w14:paraId="1DBC7734" w14:textId="77777777" w:rsidR="0050356C" w:rsidRPr="003B5E60" w:rsidRDefault="0050356C" w:rsidP="0050356C">
      <w:pPr>
        <w:numPr>
          <w:ilvl w:val="0"/>
          <w:numId w:val="42"/>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gettiti derivanti dalla lotta all’evasione tributaria;</w:t>
      </w:r>
    </w:p>
    <w:p w14:paraId="6235D6F6" w14:textId="77777777" w:rsidR="0050356C" w:rsidRPr="003B5E60" w:rsidRDefault="0050356C" w:rsidP="0050356C">
      <w:pPr>
        <w:numPr>
          <w:ilvl w:val="0"/>
          <w:numId w:val="42"/>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entrate per eventi calamitosi;</w:t>
      </w:r>
    </w:p>
    <w:p w14:paraId="468489BD" w14:textId="77777777" w:rsidR="0050356C" w:rsidRPr="003B5E60" w:rsidRDefault="0050356C" w:rsidP="0050356C">
      <w:pPr>
        <w:numPr>
          <w:ilvl w:val="0"/>
          <w:numId w:val="42"/>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alienazione di immobilizzazioni;</w:t>
      </w:r>
    </w:p>
    <w:p w14:paraId="65A4E07D" w14:textId="77777777" w:rsidR="0050356C" w:rsidRPr="003B5E60" w:rsidRDefault="0050356C" w:rsidP="0050356C">
      <w:pPr>
        <w:numPr>
          <w:ilvl w:val="0"/>
          <w:numId w:val="42"/>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le accensioni di prestiti;</w:t>
      </w:r>
    </w:p>
    <w:p w14:paraId="01450A88" w14:textId="77777777" w:rsidR="0050356C" w:rsidRPr="003B5E60" w:rsidRDefault="0050356C" w:rsidP="0050356C">
      <w:pPr>
        <w:numPr>
          <w:ilvl w:val="0"/>
          <w:numId w:val="42"/>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i contributi agli investimenti, a meno che non siano espressamente definitivi “continuativi” dal provvedimento o dalla norma che ne autorizza l’erogazione.</w:t>
      </w:r>
    </w:p>
    <w:p w14:paraId="50B1C531" w14:textId="77777777" w:rsidR="0050356C" w:rsidRPr="003B5E60" w:rsidRDefault="0050356C" w:rsidP="0050356C">
      <w:pPr>
        <w:spacing w:before="240" w:after="120" w:line="240" w:lineRule="auto"/>
        <w:ind w:left="851"/>
        <w:rPr>
          <w:rFonts w:eastAsia="Times New Roman" w:cstheme="minorHAnsi"/>
          <w:i/>
          <w:iCs/>
          <w:lang w:eastAsia="it-IT"/>
        </w:rPr>
      </w:pPr>
      <w:r w:rsidRPr="003B5E60">
        <w:rPr>
          <w:rFonts w:eastAsia="Times New Roman" w:cstheme="minorHAnsi"/>
          <w:i/>
          <w:iCs/>
          <w:lang w:eastAsia="it-IT"/>
        </w:rPr>
        <w:t>Sono, in ogni caso, da considerarsi non ricorrenti, le spese riguardanti:</w:t>
      </w:r>
    </w:p>
    <w:p w14:paraId="4EE6D513" w14:textId="77777777" w:rsidR="0050356C" w:rsidRPr="003B5E60" w:rsidRDefault="0050356C" w:rsidP="0050356C">
      <w:pPr>
        <w:numPr>
          <w:ilvl w:val="0"/>
          <w:numId w:val="43"/>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le consultazioni elettorali o referendarie locali,</w:t>
      </w:r>
    </w:p>
    <w:p w14:paraId="08890AE7" w14:textId="77777777" w:rsidR="0050356C" w:rsidRPr="003B5E60" w:rsidRDefault="0050356C" w:rsidP="0050356C">
      <w:pPr>
        <w:numPr>
          <w:ilvl w:val="0"/>
          <w:numId w:val="43"/>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lastRenderedPageBreak/>
        <w:t>i ripiani disavanzi pregressi di aziende e società e gli altri trasferimenti in c/capitale,</w:t>
      </w:r>
    </w:p>
    <w:p w14:paraId="0C7400F6" w14:textId="77777777" w:rsidR="0050356C" w:rsidRPr="003B5E60" w:rsidRDefault="0050356C" w:rsidP="0050356C">
      <w:pPr>
        <w:numPr>
          <w:ilvl w:val="0"/>
          <w:numId w:val="43"/>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gli eventi calamitosi,</w:t>
      </w:r>
    </w:p>
    <w:p w14:paraId="595583F4" w14:textId="77777777" w:rsidR="0050356C" w:rsidRPr="003B5E60" w:rsidRDefault="0050356C" w:rsidP="0050356C">
      <w:pPr>
        <w:numPr>
          <w:ilvl w:val="0"/>
          <w:numId w:val="43"/>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le sentenze esecutive ed atti equiparati,</w:t>
      </w:r>
    </w:p>
    <w:p w14:paraId="40B41663" w14:textId="77777777" w:rsidR="0050356C" w:rsidRPr="003B5E60" w:rsidRDefault="0050356C" w:rsidP="0050356C">
      <w:pPr>
        <w:numPr>
          <w:ilvl w:val="0"/>
          <w:numId w:val="43"/>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gli investimenti diretti,</w:t>
      </w:r>
    </w:p>
    <w:p w14:paraId="57CB9946" w14:textId="77777777" w:rsidR="0050356C" w:rsidRDefault="0050356C" w:rsidP="0050356C">
      <w:pPr>
        <w:numPr>
          <w:ilvl w:val="0"/>
          <w:numId w:val="43"/>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i contributi agli investimenti.</w:t>
      </w:r>
    </w:p>
    <w:p w14:paraId="278DB7EC" w14:textId="77777777" w:rsidR="00277696" w:rsidRDefault="00277696" w:rsidP="00277696">
      <w:pPr>
        <w:spacing w:after="0" w:line="240" w:lineRule="auto"/>
        <w:ind w:right="-2"/>
        <w:contextualSpacing/>
        <w:rPr>
          <w:rFonts w:eastAsia="Times New Roman" w:cstheme="minorHAnsi"/>
          <w:i/>
          <w:iCs/>
          <w:lang w:eastAsia="it-IT"/>
        </w:rPr>
      </w:pPr>
    </w:p>
    <w:p w14:paraId="7C202A94" w14:textId="12529CE6" w:rsidR="00277696" w:rsidRPr="00277696" w:rsidRDefault="00277696" w:rsidP="00277696">
      <w:pPr>
        <w:spacing w:after="0" w:line="240" w:lineRule="auto"/>
        <w:ind w:right="-2"/>
        <w:contextualSpacing/>
        <w:rPr>
          <w:rFonts w:eastAsia="Times New Roman" w:cstheme="minorHAnsi"/>
          <w:i/>
          <w:iCs/>
          <w:lang w:eastAsia="it-IT"/>
        </w:rPr>
      </w:pPr>
      <w:r w:rsidRPr="00C466DF">
        <w:rPr>
          <w:rFonts w:eastAsia="Times New Roman" w:cstheme="minorHAnsi"/>
          <w:b/>
          <w:bCs/>
          <w:lang w:eastAsia="it-IT"/>
        </w:rPr>
        <w:t>§ 9.11.4</w:t>
      </w:r>
      <w:r>
        <w:rPr>
          <w:rFonts w:eastAsia="Times New Roman" w:cstheme="minorHAnsi"/>
          <w:i/>
          <w:iCs/>
          <w:lang w:eastAsia="it-IT"/>
        </w:rPr>
        <w:tab/>
      </w:r>
      <w:r w:rsidRPr="00277696">
        <w:rPr>
          <w:rFonts w:eastAsia="Times New Roman" w:cstheme="minorHAnsi"/>
          <w:i/>
          <w:iCs/>
          <w:lang w:eastAsia="it-IT"/>
        </w:rPr>
        <w:t>La nota integrativa riepiloga e illustra gli elenchi analitici delle quote vincolate, accantonate e destinate agli investimenti che compongono il risultato di amministrazione presunto di cui agli allegati a/1, a/2 e a/3:</w:t>
      </w:r>
    </w:p>
    <w:p w14:paraId="790E5C7C" w14:textId="77777777" w:rsidR="00277696" w:rsidRPr="00277696" w:rsidRDefault="00277696" w:rsidP="00277696">
      <w:pPr>
        <w:spacing w:after="0" w:line="240" w:lineRule="auto"/>
        <w:ind w:right="-2"/>
        <w:contextualSpacing/>
        <w:rPr>
          <w:rFonts w:eastAsia="Times New Roman" w:cstheme="minorHAnsi"/>
          <w:i/>
          <w:iCs/>
          <w:lang w:eastAsia="it-IT"/>
        </w:rPr>
      </w:pPr>
    </w:p>
    <w:p w14:paraId="36FEF077" w14:textId="77777777" w:rsidR="00277696" w:rsidRPr="00277696" w:rsidRDefault="00277696" w:rsidP="00277696">
      <w:pPr>
        <w:spacing w:after="0" w:line="240" w:lineRule="auto"/>
        <w:ind w:right="-2"/>
        <w:contextualSpacing/>
        <w:rPr>
          <w:rFonts w:eastAsia="Times New Roman" w:cstheme="minorHAnsi"/>
          <w:i/>
          <w:iCs/>
          <w:lang w:eastAsia="it-IT"/>
        </w:rPr>
      </w:pPr>
      <w:r w:rsidRPr="00277696">
        <w:rPr>
          <w:rFonts w:eastAsia="Times New Roman" w:cstheme="minorHAnsi"/>
          <w:i/>
          <w:iCs/>
          <w:lang w:eastAsia="it-IT"/>
        </w:rPr>
        <w:t>- evidenziando gli utilizzi anticipati delle quote del risultato di amministrazione presunto effettuati nel rispetto delle norme e dei principi contabili. Gli enti in disavanzo (che presentano un importo negativo della lettera E del prospetto riguardante il risultato di amministrazione presunto) individuano l’importo del risultato di amministrazione presunto che possono applicare al bilancio di previsione, nel rispetto dell’articolo 1, commi 897 – 900, della legge n. 145 del 2018;</w:t>
      </w:r>
    </w:p>
    <w:p w14:paraId="6D5BE2F7" w14:textId="77777777" w:rsidR="00277696" w:rsidRPr="00277696" w:rsidRDefault="00277696" w:rsidP="00277696">
      <w:pPr>
        <w:spacing w:after="0" w:line="240" w:lineRule="auto"/>
        <w:ind w:right="-2"/>
        <w:contextualSpacing/>
        <w:rPr>
          <w:rFonts w:eastAsia="Times New Roman" w:cstheme="minorHAnsi"/>
          <w:i/>
          <w:iCs/>
          <w:lang w:eastAsia="it-IT"/>
        </w:rPr>
      </w:pPr>
    </w:p>
    <w:p w14:paraId="791F007C" w14:textId="77777777" w:rsidR="00277696" w:rsidRPr="00277696" w:rsidRDefault="00277696" w:rsidP="00277696">
      <w:pPr>
        <w:spacing w:after="0" w:line="240" w:lineRule="auto"/>
        <w:ind w:right="-2"/>
        <w:contextualSpacing/>
        <w:rPr>
          <w:rFonts w:eastAsia="Times New Roman" w:cstheme="minorHAnsi"/>
          <w:i/>
          <w:iCs/>
          <w:lang w:eastAsia="it-IT"/>
        </w:rPr>
      </w:pPr>
      <w:r w:rsidRPr="00277696">
        <w:rPr>
          <w:rFonts w:eastAsia="Times New Roman" w:cstheme="minorHAnsi"/>
          <w:i/>
          <w:iCs/>
          <w:lang w:eastAsia="it-IT"/>
        </w:rPr>
        <w:t>- descrivendo con riferimento alle componenti più rilevanti l’utilizzo dei fondi e delle entrate vincolate e destinate del risultato di amministrazione presunto, previsto nel bilancio di previsione, nel rispetto dei vincoli e delle finalità degli accantonamenti.</w:t>
      </w:r>
    </w:p>
    <w:p w14:paraId="35627E79" w14:textId="77777777" w:rsidR="00277696" w:rsidRPr="00277696" w:rsidRDefault="00277696" w:rsidP="00277696">
      <w:pPr>
        <w:spacing w:after="0" w:line="240" w:lineRule="auto"/>
        <w:ind w:right="-2"/>
        <w:contextualSpacing/>
        <w:rPr>
          <w:rFonts w:eastAsia="Times New Roman" w:cstheme="minorHAnsi"/>
          <w:i/>
          <w:iCs/>
          <w:lang w:eastAsia="it-IT"/>
        </w:rPr>
      </w:pPr>
    </w:p>
    <w:p w14:paraId="1E9AB150" w14:textId="77777777" w:rsidR="00277696" w:rsidRPr="00277696" w:rsidRDefault="00277696" w:rsidP="00277696">
      <w:pPr>
        <w:spacing w:after="0" w:line="240" w:lineRule="auto"/>
        <w:ind w:right="-2"/>
        <w:contextualSpacing/>
        <w:rPr>
          <w:rFonts w:eastAsia="Times New Roman" w:cstheme="minorHAnsi"/>
          <w:i/>
          <w:iCs/>
          <w:lang w:eastAsia="it-IT"/>
        </w:rPr>
      </w:pPr>
      <w:r w:rsidRPr="00277696">
        <w:rPr>
          <w:rFonts w:eastAsia="Times New Roman" w:cstheme="minorHAnsi"/>
          <w:i/>
          <w:iCs/>
          <w:lang w:eastAsia="it-IT"/>
        </w:rPr>
        <w:t>Nella nota integrativa sono altresì riportati gli elenchi analitici dei capitoli di spesa finanziati da un unico capitolo di entrata vincolata o da un unico capitolo di entrata destinata agli investimenti, che negli allegati a/2 e a/3 sono stati aggregati in un’unica voce.</w:t>
      </w:r>
    </w:p>
    <w:p w14:paraId="2F911D3C" w14:textId="77777777" w:rsidR="00277696" w:rsidRPr="00277696" w:rsidRDefault="00277696" w:rsidP="00277696">
      <w:pPr>
        <w:spacing w:after="0" w:line="240" w:lineRule="auto"/>
        <w:ind w:right="-2"/>
        <w:contextualSpacing/>
        <w:rPr>
          <w:rFonts w:eastAsia="Times New Roman" w:cstheme="minorHAnsi"/>
          <w:i/>
          <w:iCs/>
          <w:lang w:eastAsia="it-IT"/>
        </w:rPr>
      </w:pPr>
    </w:p>
    <w:p w14:paraId="6D1B5219" w14:textId="77777777" w:rsidR="00277696" w:rsidRPr="00277696" w:rsidRDefault="00277696" w:rsidP="00277696">
      <w:pPr>
        <w:spacing w:after="0" w:line="240" w:lineRule="auto"/>
        <w:ind w:right="-2"/>
        <w:contextualSpacing/>
        <w:rPr>
          <w:rFonts w:eastAsia="Times New Roman" w:cstheme="minorHAnsi"/>
          <w:i/>
          <w:iCs/>
          <w:lang w:eastAsia="it-IT"/>
        </w:rPr>
      </w:pPr>
      <w:r w:rsidRPr="00277696">
        <w:rPr>
          <w:rFonts w:eastAsia="Times New Roman" w:cstheme="minorHAnsi"/>
          <w:i/>
          <w:iCs/>
          <w:lang w:eastAsia="it-IT"/>
        </w:rPr>
        <w:t>L’elenco analitico di tali capitoli segue gli schemi previsti per gli allegati a/2 e a/3.</w:t>
      </w:r>
    </w:p>
    <w:p w14:paraId="4C2977FA" w14:textId="77777777" w:rsidR="00277696" w:rsidRPr="00277696" w:rsidRDefault="00277696" w:rsidP="00277696">
      <w:pPr>
        <w:spacing w:after="0" w:line="240" w:lineRule="auto"/>
        <w:ind w:right="-2"/>
        <w:contextualSpacing/>
        <w:rPr>
          <w:rFonts w:eastAsia="Times New Roman" w:cstheme="minorHAnsi"/>
          <w:i/>
          <w:iCs/>
          <w:lang w:eastAsia="it-IT"/>
        </w:rPr>
      </w:pPr>
    </w:p>
    <w:p w14:paraId="59843658" w14:textId="6DEC8510" w:rsidR="00277696" w:rsidRPr="003B5E60" w:rsidRDefault="00277696" w:rsidP="00277696">
      <w:pPr>
        <w:spacing w:after="0" w:line="240" w:lineRule="auto"/>
        <w:ind w:right="-2"/>
        <w:contextualSpacing/>
        <w:rPr>
          <w:rFonts w:eastAsia="Times New Roman" w:cstheme="minorHAnsi"/>
          <w:i/>
          <w:iCs/>
          <w:lang w:eastAsia="it-IT"/>
        </w:rPr>
      </w:pPr>
      <w:r w:rsidRPr="00277696">
        <w:rPr>
          <w:rFonts w:eastAsia="Times New Roman" w:cstheme="minorHAnsi"/>
          <w:i/>
          <w:iCs/>
          <w:lang w:eastAsia="it-IT"/>
        </w:rPr>
        <w:t>Tali indicazioni non sono obbligatorie nei casi in cui l’ente non è tenuto ad allegare gli elenchi analitici.</w:t>
      </w:r>
    </w:p>
    <w:p w14:paraId="38C3ECF2" w14:textId="14FB0186" w:rsidR="0050356C" w:rsidRPr="003B5E60" w:rsidRDefault="00277696" w:rsidP="0050356C">
      <w:pPr>
        <w:spacing w:before="100" w:beforeAutospacing="1" w:after="100" w:afterAutospacing="1" w:line="240" w:lineRule="auto"/>
        <w:rPr>
          <w:rFonts w:eastAsia="Times New Roman" w:cstheme="minorHAnsi"/>
          <w:i/>
          <w:iCs/>
          <w:lang w:eastAsia="it-IT"/>
        </w:rPr>
      </w:pPr>
      <w:r w:rsidRPr="00C466DF">
        <w:rPr>
          <w:rFonts w:eastAsia="Times New Roman" w:cstheme="minorHAnsi"/>
          <w:b/>
          <w:bCs/>
          <w:lang w:eastAsia="it-IT"/>
        </w:rPr>
        <w:t>§ 9.11.5</w:t>
      </w:r>
      <w:r>
        <w:rPr>
          <w:rFonts w:eastAsia="Times New Roman" w:cstheme="minorHAnsi"/>
          <w:i/>
          <w:iCs/>
          <w:lang w:eastAsia="it-IT"/>
        </w:rPr>
        <w:t xml:space="preserve"> </w:t>
      </w:r>
      <w:r w:rsidR="0050356C" w:rsidRPr="003B5E60">
        <w:rPr>
          <w:rFonts w:eastAsia="Times New Roman" w:cstheme="minorHAnsi"/>
          <w:i/>
          <w:iCs/>
          <w:lang w:eastAsia="it-IT"/>
        </w:rPr>
        <w:t>La nota integrativa, con riferimento ai contratti relativi a strumenti finanziari derivati o da contratti di finanziamento che includono una componente derivata, deve indicare gli oneri e gli impegni finanziari stimati e stanziati in bilancio per ciascuna operazione in derivati.</w:t>
      </w:r>
    </w:p>
    <w:p w14:paraId="4F65C393" w14:textId="77777777" w:rsidR="0050356C" w:rsidRPr="003B5E60" w:rsidRDefault="0050356C" w:rsidP="0050356C">
      <w:pPr>
        <w:spacing w:before="120" w:after="120" w:line="240" w:lineRule="auto"/>
        <w:rPr>
          <w:rFonts w:eastAsia="Times New Roman" w:cstheme="minorHAnsi"/>
          <w:i/>
          <w:iCs/>
          <w:lang w:eastAsia="it-IT"/>
        </w:rPr>
      </w:pPr>
      <w:r w:rsidRPr="003B5E60">
        <w:rPr>
          <w:rFonts w:eastAsia="Times New Roman" w:cstheme="minorHAnsi"/>
          <w:i/>
          <w:iCs/>
          <w:lang w:eastAsia="it-IT"/>
        </w:rPr>
        <w:t>A tal fine, per ciascuna operazione in derivati sono indicate:</w:t>
      </w:r>
    </w:p>
    <w:p w14:paraId="0E0CB912" w14:textId="77777777" w:rsidR="0050356C" w:rsidRPr="003B5E60" w:rsidRDefault="0050356C" w:rsidP="0050356C">
      <w:pPr>
        <w:numPr>
          <w:ilvl w:val="0"/>
          <w:numId w:val="47"/>
        </w:numPr>
        <w:spacing w:after="0" w:line="240" w:lineRule="auto"/>
        <w:ind w:left="426" w:hanging="284"/>
        <w:rPr>
          <w:rFonts w:eastAsia="Times New Roman" w:cstheme="minorHAnsi"/>
          <w:i/>
          <w:iCs/>
          <w:lang w:eastAsia="it-IT"/>
        </w:rPr>
      </w:pPr>
      <w:r w:rsidRPr="003B5E60">
        <w:rPr>
          <w:rFonts w:eastAsia="Times New Roman" w:cstheme="minorHAnsi"/>
          <w:i/>
          <w:iCs/>
          <w:lang w:eastAsia="it-IT"/>
        </w:rPr>
        <w:t>informazioni sulla loro entità e sulla loro natura;</w:t>
      </w:r>
    </w:p>
    <w:p w14:paraId="192492C6" w14:textId="77777777" w:rsidR="0050356C" w:rsidRPr="003B5E60" w:rsidRDefault="0050356C" w:rsidP="0050356C">
      <w:pPr>
        <w:numPr>
          <w:ilvl w:val="0"/>
          <w:numId w:val="47"/>
        </w:numPr>
        <w:spacing w:before="100" w:beforeAutospacing="1" w:after="100" w:afterAutospacing="1" w:line="240" w:lineRule="auto"/>
        <w:ind w:left="426" w:hanging="284"/>
        <w:rPr>
          <w:rFonts w:eastAsia="Times New Roman" w:cstheme="minorHAnsi"/>
          <w:i/>
          <w:iCs/>
          <w:lang w:eastAsia="it-IT"/>
        </w:rPr>
      </w:pPr>
      <w:r w:rsidRPr="003B5E60">
        <w:rPr>
          <w:rFonts w:eastAsia="Times New Roman" w:cstheme="minorHAnsi"/>
          <w:i/>
          <w:iCs/>
          <w:lang w:eastAsia="it-IT"/>
        </w:rPr>
        <w:t xml:space="preserve">il loro fair </w:t>
      </w:r>
      <w:proofErr w:type="spellStart"/>
      <w:r w:rsidRPr="003B5E60">
        <w:rPr>
          <w:rFonts w:eastAsia="Times New Roman" w:cstheme="minorHAnsi"/>
          <w:i/>
          <w:iCs/>
          <w:lang w:eastAsia="it-IT"/>
        </w:rPr>
        <w:t>value</w:t>
      </w:r>
      <w:proofErr w:type="spellEnd"/>
      <w:r w:rsidRPr="003B5E60">
        <w:rPr>
          <w:rFonts w:eastAsia="Times New Roman" w:cstheme="minorHAnsi"/>
          <w:i/>
          <w:iCs/>
          <w:lang w:eastAsia="it-IT"/>
        </w:rPr>
        <w:t xml:space="preserve"> alla data di predisposizione del bilancio di previsione, determinato secondo le modalità previste dall’articolo 1, comma 3, del D.lgs. 30 dicembre 2003, n. 394;</w:t>
      </w:r>
    </w:p>
    <w:p w14:paraId="2B1F885A" w14:textId="77777777" w:rsidR="0050356C" w:rsidRPr="003B5E60" w:rsidRDefault="0050356C" w:rsidP="0050356C">
      <w:pPr>
        <w:numPr>
          <w:ilvl w:val="0"/>
          <w:numId w:val="47"/>
        </w:numPr>
        <w:spacing w:before="100" w:beforeAutospacing="1" w:after="100" w:afterAutospacing="1" w:line="240" w:lineRule="auto"/>
        <w:ind w:left="426" w:hanging="284"/>
        <w:rPr>
          <w:rFonts w:eastAsia="Times New Roman" w:cstheme="minorHAnsi"/>
          <w:i/>
          <w:iCs/>
          <w:lang w:eastAsia="it-IT"/>
        </w:rPr>
      </w:pPr>
      <w:r w:rsidRPr="003B5E60">
        <w:rPr>
          <w:rFonts w:eastAsia="Times New Roman" w:cstheme="minorHAnsi"/>
          <w:i/>
          <w:iCs/>
          <w:lang w:eastAsia="it-IT"/>
        </w:rPr>
        <w:t xml:space="preserve">il valore nominale e il fair </w:t>
      </w:r>
      <w:proofErr w:type="spellStart"/>
      <w:r w:rsidRPr="003B5E60">
        <w:rPr>
          <w:rFonts w:eastAsia="Times New Roman" w:cstheme="minorHAnsi"/>
          <w:i/>
          <w:iCs/>
          <w:lang w:eastAsia="it-IT"/>
        </w:rPr>
        <w:t>value</w:t>
      </w:r>
      <w:proofErr w:type="spellEnd"/>
      <w:r w:rsidRPr="003B5E60">
        <w:rPr>
          <w:rFonts w:eastAsia="Times New Roman" w:cstheme="minorHAnsi"/>
          <w:i/>
          <w:iCs/>
          <w:lang w:eastAsia="it-IT"/>
        </w:rPr>
        <w:t xml:space="preserve"> alla data di predisposizione del bilancio di previsione, della passività sulla quale insiste il derivato stesso e  il relativo tasso di interesse;</w:t>
      </w:r>
    </w:p>
    <w:p w14:paraId="73BEB70A" w14:textId="77777777" w:rsidR="0050356C" w:rsidRPr="003B5E60" w:rsidRDefault="0050356C" w:rsidP="0050356C">
      <w:pPr>
        <w:numPr>
          <w:ilvl w:val="0"/>
          <w:numId w:val="47"/>
        </w:numPr>
        <w:spacing w:before="100" w:beforeAutospacing="1" w:after="100" w:afterAutospacing="1" w:line="240" w:lineRule="auto"/>
        <w:ind w:left="426" w:hanging="284"/>
        <w:rPr>
          <w:rFonts w:eastAsia="Times New Roman" w:cstheme="minorHAnsi"/>
          <w:i/>
          <w:iCs/>
          <w:lang w:eastAsia="it-IT"/>
        </w:rPr>
      </w:pPr>
      <w:r w:rsidRPr="003B5E60">
        <w:rPr>
          <w:rFonts w:eastAsia="Times New Roman" w:cstheme="minorHAnsi"/>
          <w:i/>
          <w:iCs/>
          <w:lang w:eastAsia="it-IT"/>
        </w:rPr>
        <w:t>Gli stanziamenti del bilancio di previsione relativi ai flussi di entrata e di spesa riguardanti ciascun derivato, relativi agli esercizi considerati nel bilancio e i criteri di valutazione adottati per l’elaborazione di tali previsioni</w:t>
      </w:r>
    </w:p>
    <w:p w14:paraId="7680EC5F" w14:textId="77777777" w:rsidR="0050356C" w:rsidRPr="003B5E60" w:rsidRDefault="0050356C" w:rsidP="0050356C">
      <w:pPr>
        <w:numPr>
          <w:ilvl w:val="0"/>
          <w:numId w:val="47"/>
        </w:numPr>
        <w:spacing w:before="100" w:beforeAutospacing="1" w:after="100" w:afterAutospacing="1" w:line="240" w:lineRule="auto"/>
        <w:ind w:left="426" w:hanging="284"/>
        <w:rPr>
          <w:rFonts w:eastAsia="Times New Roman" w:cstheme="minorHAnsi"/>
          <w:i/>
          <w:iCs/>
          <w:lang w:eastAsia="it-IT"/>
        </w:rPr>
      </w:pPr>
      <w:r w:rsidRPr="003B5E60">
        <w:rPr>
          <w:rFonts w:eastAsia="Times New Roman" w:cstheme="minorHAnsi"/>
          <w:i/>
          <w:iCs/>
          <w:lang w:eastAsia="it-IT"/>
        </w:rPr>
        <w:t>il tasso costo finale sintetico presunto a carico dell’Ente, calcolato, per ciascun esercizio cui il bilancio si riferisce, secondo la seguente formulazione: (TFSCFS= {[(Interessi su debito sottostante+/- Differenziali swap)*36000] / [(Nominale * 365</w:t>
      </w:r>
      <w:r w:rsidRPr="003B5E60">
        <w:rPr>
          <w:rFonts w:eastAsia="Times New Roman" w:cstheme="minorHAnsi"/>
          <w:i/>
          <w:iCs/>
          <w:vertAlign w:val="superscript"/>
          <w:lang w:eastAsia="it-IT"/>
        </w:rPr>
        <w:footnoteReference w:id="1"/>
      </w:r>
      <w:r w:rsidRPr="003B5E60">
        <w:rPr>
          <w:rFonts w:eastAsia="Times New Roman" w:cstheme="minorHAnsi"/>
          <w:i/>
          <w:iCs/>
          <w:lang w:eastAsia="it-IT"/>
        </w:rPr>
        <w:t>)]}. Gli importi relativi agli interessi e ai differenziali swap sono calcolati facendo riferimento agli stanziamenti iscritti in bilancio,</w:t>
      </w:r>
    </w:p>
    <w:p w14:paraId="4AF8EE86" w14:textId="77777777" w:rsidR="0050356C" w:rsidRPr="003B5E60" w:rsidRDefault="0050356C" w:rsidP="0050356C">
      <w:pPr>
        <w:spacing w:before="100" w:beforeAutospacing="1" w:after="100" w:afterAutospacing="1" w:line="240" w:lineRule="auto"/>
        <w:rPr>
          <w:rFonts w:eastAsia="Times New Roman" w:cstheme="minorHAnsi"/>
          <w:i/>
          <w:iCs/>
          <w:lang w:eastAsia="it-IT"/>
        </w:rPr>
      </w:pPr>
      <w:r w:rsidRPr="003B5E60">
        <w:rPr>
          <w:rFonts w:eastAsia="Times New Roman" w:cstheme="minorHAnsi"/>
          <w:i/>
          <w:iCs/>
          <w:lang w:eastAsia="it-IT"/>
        </w:rPr>
        <w:lastRenderedPageBreak/>
        <w:t>Ai fini dell’applicazione del presente principio, per la definizione di strumento finanziari derivato si fa riferimento ai principi contabili riconosciuti in ambito internazionale e compatibili con la disciplina in materia dell’Unione europea.</w:t>
      </w:r>
    </w:p>
    <w:p w14:paraId="4AE367D1" w14:textId="77777777" w:rsidR="0050356C" w:rsidRPr="003B5E60" w:rsidRDefault="0050356C" w:rsidP="0050356C">
      <w:pPr>
        <w:spacing w:before="100" w:beforeAutospacing="1" w:after="100" w:afterAutospacing="1" w:line="240" w:lineRule="auto"/>
        <w:rPr>
          <w:rFonts w:eastAsia="Times New Roman" w:cstheme="minorHAnsi"/>
          <w:b/>
          <w:bCs/>
          <w:i/>
          <w:iCs/>
          <w:u w:val="single"/>
          <w:lang w:eastAsia="it-IT"/>
        </w:rPr>
      </w:pPr>
      <w:r w:rsidRPr="003B5E60">
        <w:rPr>
          <w:rFonts w:eastAsia="Times New Roman" w:cstheme="minorHAnsi"/>
          <w:b/>
          <w:bCs/>
          <w:i/>
          <w:iCs/>
          <w:u w:val="single"/>
          <w:lang w:eastAsia="it-IT"/>
        </w:rPr>
        <w:t xml:space="preserve">Il principio poi pone attenzione sulla copertura degli investimenti, in particolare per gli enti che utilizzano il margine corrente per il finanziamento delle spese di investimento negli anni successivi a quello di riferimento: </w:t>
      </w:r>
    </w:p>
    <w:p w14:paraId="11128E4D" w14:textId="5CB5931B" w:rsidR="0050356C" w:rsidRPr="003B5E60" w:rsidRDefault="00277696" w:rsidP="0050356C">
      <w:pPr>
        <w:tabs>
          <w:tab w:val="left" w:pos="993"/>
        </w:tabs>
        <w:spacing w:after="0" w:line="240" w:lineRule="auto"/>
        <w:contextualSpacing/>
        <w:rPr>
          <w:rFonts w:eastAsia="Calibri" w:cstheme="minorHAnsi"/>
          <w:bCs/>
          <w:i/>
          <w:iCs/>
          <w:lang w:eastAsia="it-IT"/>
        </w:rPr>
      </w:pPr>
      <w:r w:rsidRPr="00C466DF">
        <w:rPr>
          <w:rFonts w:eastAsia="Times New Roman" w:cstheme="minorHAnsi"/>
          <w:b/>
          <w:lang w:eastAsia="it-IT"/>
        </w:rPr>
        <w:t xml:space="preserve">§ </w:t>
      </w:r>
      <w:r w:rsidR="0050356C" w:rsidRPr="00C466DF">
        <w:rPr>
          <w:rFonts w:eastAsia="Times New Roman" w:cstheme="minorHAnsi"/>
          <w:b/>
          <w:lang w:eastAsia="it-IT"/>
        </w:rPr>
        <w:t>9.11.6</w:t>
      </w:r>
      <w:r w:rsidR="0050356C" w:rsidRPr="003B5E60">
        <w:rPr>
          <w:rFonts w:eastAsia="Times New Roman" w:cstheme="minorHAnsi"/>
          <w:bCs/>
          <w:i/>
          <w:iCs/>
          <w:lang w:eastAsia="it-IT"/>
        </w:rPr>
        <w:t xml:space="preserve">  L’articolo 11, comma 5, lettera d) del presente decreto prevede che la nota integrativa indichi </w:t>
      </w:r>
      <w:r w:rsidR="0050356C" w:rsidRPr="003B5E60">
        <w:rPr>
          <w:rFonts w:eastAsia="Calibri" w:cstheme="minorHAnsi"/>
          <w:bCs/>
          <w:i/>
          <w:iCs/>
          <w:lang w:eastAsia="it-IT"/>
        </w:rPr>
        <w:t xml:space="preserve">l’elenco degli interventi programmati per spese di investimento finanziati col ricorso al debito e con le risorse disponibili. </w:t>
      </w:r>
    </w:p>
    <w:p w14:paraId="0FE9DD7E" w14:textId="77777777" w:rsidR="0050356C" w:rsidRPr="003B5E60" w:rsidRDefault="0050356C" w:rsidP="0050356C">
      <w:pPr>
        <w:tabs>
          <w:tab w:val="left" w:pos="993"/>
        </w:tabs>
        <w:spacing w:after="0" w:line="240" w:lineRule="auto"/>
        <w:ind w:right="-2"/>
        <w:contextualSpacing/>
        <w:rPr>
          <w:rFonts w:eastAsia="Calibri" w:cstheme="minorHAnsi"/>
          <w:bCs/>
          <w:i/>
          <w:iCs/>
          <w:lang w:eastAsia="it-IT"/>
        </w:rPr>
      </w:pPr>
      <w:r w:rsidRPr="003B5E60">
        <w:rPr>
          <w:rFonts w:eastAsia="Calibri" w:cstheme="minorHAnsi"/>
          <w:bCs/>
          <w:i/>
          <w:iCs/>
          <w:lang w:eastAsia="it-IT"/>
        </w:rPr>
        <w:t>L’elenco degli interventi programmati per spese di investimento, articolato secondo la differente natura delle risorse disponibili, è predisposto con riferimento a ciascun esercizio considerato nel bilancio di previsione, attraverso l’indicazione degli articoli/capitoli e dei relativi investimenti.</w:t>
      </w:r>
    </w:p>
    <w:p w14:paraId="19E2E31F" w14:textId="77777777" w:rsidR="0050356C" w:rsidRPr="003B5E60" w:rsidRDefault="0050356C" w:rsidP="0050356C">
      <w:pPr>
        <w:tabs>
          <w:tab w:val="left" w:pos="993"/>
        </w:tabs>
        <w:spacing w:after="0" w:line="240" w:lineRule="auto"/>
        <w:ind w:right="-2"/>
        <w:contextualSpacing/>
        <w:rPr>
          <w:rFonts w:eastAsia="Calibri" w:cstheme="minorHAnsi"/>
          <w:bCs/>
          <w:i/>
          <w:iCs/>
          <w:lang w:eastAsia="it-IT"/>
        </w:rPr>
      </w:pPr>
      <w:r w:rsidRPr="003B5E60">
        <w:rPr>
          <w:rFonts w:eastAsia="Calibri" w:cstheme="minorHAnsi"/>
          <w:bCs/>
          <w:i/>
          <w:iCs/>
          <w:lang w:eastAsia="it-IT"/>
        </w:rPr>
        <w:t>Le risorse destinabili al finanziamento delle spese di investimento sono costituite da:</w:t>
      </w:r>
    </w:p>
    <w:p w14:paraId="302FE684" w14:textId="77777777" w:rsidR="0050356C" w:rsidRPr="003B5E60" w:rsidRDefault="0050356C" w:rsidP="0050356C">
      <w:pPr>
        <w:numPr>
          <w:ilvl w:val="0"/>
          <w:numId w:val="44"/>
        </w:numPr>
        <w:tabs>
          <w:tab w:val="left" w:pos="993"/>
        </w:tabs>
        <w:spacing w:after="0" w:line="240" w:lineRule="auto"/>
        <w:ind w:left="426" w:right="-2" w:hanging="284"/>
        <w:contextualSpacing/>
        <w:rPr>
          <w:rFonts w:eastAsia="Calibri" w:cstheme="minorHAnsi"/>
          <w:bCs/>
          <w:i/>
          <w:iCs/>
          <w:lang w:eastAsia="it-IT"/>
        </w:rPr>
      </w:pPr>
      <w:r w:rsidRPr="003B5E60">
        <w:rPr>
          <w:rFonts w:eastAsia="Calibri" w:cstheme="minorHAnsi"/>
          <w:bCs/>
          <w:i/>
          <w:iCs/>
          <w:lang w:eastAsia="it-IT"/>
        </w:rPr>
        <w:t>le entrate correnti (titoli 1, 2 e 3) non destinate al finanziamento delle spese correnti e del rimborso dei prestiti;</w:t>
      </w:r>
    </w:p>
    <w:p w14:paraId="38AB3005" w14:textId="77777777" w:rsidR="0050356C" w:rsidRPr="003B5E60" w:rsidRDefault="0050356C" w:rsidP="0050356C">
      <w:pPr>
        <w:numPr>
          <w:ilvl w:val="0"/>
          <w:numId w:val="44"/>
        </w:numPr>
        <w:tabs>
          <w:tab w:val="left" w:pos="993"/>
        </w:tabs>
        <w:spacing w:after="0" w:line="240" w:lineRule="auto"/>
        <w:ind w:left="426" w:right="-2" w:hanging="284"/>
        <w:contextualSpacing/>
        <w:rPr>
          <w:rFonts w:eastAsia="Calibri" w:cstheme="minorHAnsi"/>
          <w:bCs/>
          <w:i/>
          <w:iCs/>
          <w:lang w:eastAsia="it-IT"/>
        </w:rPr>
      </w:pPr>
      <w:r w:rsidRPr="003B5E60">
        <w:rPr>
          <w:rFonts w:eastAsia="Calibri" w:cstheme="minorHAnsi"/>
          <w:bCs/>
          <w:i/>
          <w:iCs/>
          <w:lang w:eastAsia="it-IT"/>
        </w:rPr>
        <w:t>le entrate in conto capitale (titolo 4);</w:t>
      </w:r>
    </w:p>
    <w:p w14:paraId="1A5DF008" w14:textId="77777777" w:rsidR="0050356C" w:rsidRPr="003B5E60" w:rsidRDefault="0050356C" w:rsidP="0050356C">
      <w:pPr>
        <w:numPr>
          <w:ilvl w:val="0"/>
          <w:numId w:val="44"/>
        </w:numPr>
        <w:tabs>
          <w:tab w:val="left" w:pos="993"/>
        </w:tabs>
        <w:spacing w:after="0" w:line="240" w:lineRule="auto"/>
        <w:ind w:left="426" w:right="-2" w:hanging="284"/>
        <w:contextualSpacing/>
        <w:rPr>
          <w:rFonts w:eastAsia="Calibri" w:cstheme="minorHAnsi"/>
          <w:bCs/>
          <w:i/>
          <w:iCs/>
          <w:lang w:eastAsia="it-IT"/>
        </w:rPr>
      </w:pPr>
      <w:r w:rsidRPr="003B5E60">
        <w:rPr>
          <w:rFonts w:eastAsia="Calibri" w:cstheme="minorHAnsi"/>
          <w:bCs/>
          <w:i/>
          <w:iCs/>
          <w:lang w:eastAsia="it-IT"/>
        </w:rPr>
        <w:t>le entrate da riduzione di attività finanziarie (titolo 5) eccedenti rispetto alle spese per incremento delle attività finanziarie, destinabili al finanziamento degli investimenti oltre che all’estinzione anticipata dei prestiti;</w:t>
      </w:r>
    </w:p>
    <w:p w14:paraId="20CE2FEF" w14:textId="77777777" w:rsidR="0050356C" w:rsidRPr="003B5E60" w:rsidRDefault="0050356C" w:rsidP="0050356C">
      <w:pPr>
        <w:numPr>
          <w:ilvl w:val="0"/>
          <w:numId w:val="44"/>
        </w:numPr>
        <w:tabs>
          <w:tab w:val="left" w:pos="993"/>
        </w:tabs>
        <w:spacing w:after="0" w:line="240" w:lineRule="auto"/>
        <w:ind w:left="426" w:right="-2" w:hanging="284"/>
        <w:contextualSpacing/>
        <w:rPr>
          <w:rFonts w:eastAsia="Calibri" w:cstheme="minorHAnsi"/>
          <w:bCs/>
          <w:i/>
          <w:iCs/>
          <w:lang w:eastAsia="it-IT"/>
        </w:rPr>
      </w:pPr>
      <w:r w:rsidRPr="003B5E60">
        <w:rPr>
          <w:rFonts w:eastAsia="Calibri" w:cstheme="minorHAnsi"/>
          <w:bCs/>
          <w:i/>
          <w:iCs/>
          <w:lang w:eastAsia="it-IT"/>
        </w:rPr>
        <w:t xml:space="preserve">le entrate da accensione prestiti (Titolo 5), che costituiscono il ricorso al debito. </w:t>
      </w:r>
    </w:p>
    <w:p w14:paraId="2111B32D" w14:textId="77777777" w:rsidR="0050356C" w:rsidRPr="003B5E60" w:rsidRDefault="0050356C" w:rsidP="0050356C">
      <w:pPr>
        <w:spacing w:after="0" w:line="240" w:lineRule="auto"/>
        <w:rPr>
          <w:rFonts w:eastAsia="Times New Roman" w:cstheme="minorHAnsi"/>
          <w:bCs/>
          <w:i/>
          <w:iCs/>
          <w:lang w:eastAsia="it-IT"/>
        </w:rPr>
      </w:pPr>
    </w:p>
    <w:p w14:paraId="3F138689" w14:textId="77777777" w:rsidR="0050356C" w:rsidRPr="003B5E60" w:rsidRDefault="0050356C" w:rsidP="0050356C">
      <w:pPr>
        <w:spacing w:after="0" w:line="240" w:lineRule="auto"/>
        <w:rPr>
          <w:rFonts w:eastAsia="Times New Roman" w:cstheme="minorHAnsi"/>
          <w:bCs/>
          <w:i/>
          <w:iCs/>
          <w:lang w:eastAsia="it-IT"/>
        </w:rPr>
      </w:pPr>
      <w:r w:rsidRPr="003B5E60">
        <w:rPr>
          <w:rFonts w:eastAsia="Times New Roman" w:cstheme="minorHAnsi"/>
          <w:bCs/>
          <w:i/>
          <w:iCs/>
          <w:lang w:eastAsia="it-IT"/>
        </w:rPr>
        <w:t xml:space="preserve">Le risorse di cui alle lettere da b) a d) costituiscono copertura finanziaria degli impegni concernenti le spese di investimento a seguito dell’accertamento delle entrate, esigibili nell’esercizio in corso di gestione o la cui esigibilità è nella piena discrezionalità dell’ente o di altra amministrazione pubblica. </w:t>
      </w:r>
    </w:p>
    <w:p w14:paraId="6B1D10A8" w14:textId="77777777" w:rsidR="0050356C" w:rsidRPr="003B5E60" w:rsidRDefault="0050356C" w:rsidP="0050356C">
      <w:pPr>
        <w:spacing w:after="0" w:line="240" w:lineRule="auto"/>
        <w:rPr>
          <w:rFonts w:eastAsia="Times New Roman" w:cstheme="minorHAnsi"/>
          <w:bCs/>
          <w:i/>
          <w:iCs/>
          <w:lang w:eastAsia="it-IT"/>
        </w:rPr>
      </w:pPr>
    </w:p>
    <w:p w14:paraId="5514E388" w14:textId="77777777" w:rsidR="0050356C" w:rsidRPr="003B5E60" w:rsidRDefault="0050356C" w:rsidP="0050356C">
      <w:pPr>
        <w:spacing w:after="0" w:line="240" w:lineRule="auto"/>
        <w:rPr>
          <w:rFonts w:eastAsia="Times New Roman" w:cstheme="minorHAnsi"/>
          <w:bCs/>
          <w:i/>
          <w:iCs/>
          <w:lang w:eastAsia="it-IT"/>
        </w:rPr>
      </w:pPr>
      <w:r w:rsidRPr="003B5E60">
        <w:rPr>
          <w:rFonts w:eastAsia="Times New Roman" w:cstheme="minorHAnsi"/>
          <w:bCs/>
          <w:i/>
          <w:iCs/>
          <w:lang w:eastAsia="it-IT"/>
        </w:rPr>
        <w:t>Le risorse di cui alla lettera a) costituiscono copertura finanziaria alle spese di investimento, con modalità differenti per impegni imputati all’esercizio in corso di gestione o per gli impegni imputati agli esercizi successivi.</w:t>
      </w:r>
    </w:p>
    <w:p w14:paraId="1D69C4D4" w14:textId="77777777" w:rsidR="0050356C" w:rsidRPr="003B5E60" w:rsidRDefault="0050356C" w:rsidP="0050356C">
      <w:pPr>
        <w:spacing w:after="0" w:line="240" w:lineRule="auto"/>
        <w:rPr>
          <w:rFonts w:eastAsia="Times New Roman" w:cstheme="minorHAnsi"/>
          <w:bCs/>
          <w:i/>
          <w:iCs/>
          <w:lang w:eastAsia="it-IT"/>
        </w:rPr>
      </w:pPr>
      <w:r w:rsidRPr="003B5E60">
        <w:rPr>
          <w:rFonts w:eastAsia="Times New Roman" w:cstheme="minorHAnsi"/>
          <w:bCs/>
          <w:i/>
          <w:iCs/>
          <w:lang w:eastAsia="it-IT"/>
        </w:rPr>
        <w:t xml:space="preserve">Per gli impegni concernenti investimenti imputati all’esercizio in corso di gestione, la copertura è costituita dall’intero importo del saldo positivo di parte corrente previsto nel bilancio di previsione per l’esercizio in corso di gestione.  </w:t>
      </w:r>
    </w:p>
    <w:p w14:paraId="7DB0CC7B" w14:textId="77777777" w:rsidR="0050356C" w:rsidRPr="003B5E60" w:rsidRDefault="0050356C" w:rsidP="0050356C">
      <w:pPr>
        <w:spacing w:after="0" w:line="240" w:lineRule="auto"/>
        <w:rPr>
          <w:rFonts w:eastAsia="Times New Roman" w:cstheme="minorHAnsi"/>
          <w:bCs/>
          <w:i/>
          <w:iCs/>
          <w:lang w:eastAsia="it-IT"/>
        </w:rPr>
      </w:pPr>
      <w:r w:rsidRPr="003B5E60">
        <w:rPr>
          <w:rFonts w:eastAsia="Times New Roman" w:cstheme="minorHAnsi"/>
          <w:bCs/>
          <w:i/>
          <w:iCs/>
          <w:lang w:eastAsia="it-IT"/>
        </w:rPr>
        <w:t xml:space="preserve">Per gli impegni concernenti investimenti imputati agli esercizi successivi a quello in corso di gestione la copertura è costituita da quota parte del saldo positivo di parte corrente previsto per ciascun esercizio se risultano rispettate una serie di condizioni previste dal principio contabile generale della competenza finanziaria, specificate nel principio applicato della contabilità finanziaria (da 5.3.5 a 5.3.10). </w:t>
      </w:r>
    </w:p>
    <w:p w14:paraId="02A1983A" w14:textId="77777777" w:rsidR="0050356C" w:rsidRPr="003B5E60" w:rsidRDefault="0050356C" w:rsidP="0050356C">
      <w:pPr>
        <w:spacing w:after="0" w:line="240" w:lineRule="auto"/>
        <w:rPr>
          <w:rFonts w:eastAsia="Times New Roman" w:cstheme="minorHAnsi"/>
          <w:bCs/>
          <w:i/>
          <w:iCs/>
          <w:lang w:eastAsia="it-IT"/>
        </w:rPr>
      </w:pPr>
      <w:r w:rsidRPr="003B5E60">
        <w:rPr>
          <w:rFonts w:eastAsia="Times New Roman" w:cstheme="minorHAnsi"/>
          <w:bCs/>
          <w:i/>
          <w:iCs/>
          <w:lang w:eastAsia="it-IT"/>
        </w:rPr>
        <w:t>Al fine di garantire la corretta applicazione di tali principi, nella sezione della nota integrativa riguardante l’elenco degli interventi programmati per spese di investimento, è dedicata una particolare attenzione agli investimenti finanziati dalle previsioni di entrate correnti risultanti dal saldo positivo di parte corrente previsto nel prospetto degli equilibri allegato al bilancio di previsione.</w:t>
      </w:r>
    </w:p>
    <w:p w14:paraId="0C59A132" w14:textId="77777777" w:rsidR="0050356C" w:rsidRPr="003B5E60" w:rsidRDefault="0050356C" w:rsidP="0050356C">
      <w:pPr>
        <w:spacing w:after="0" w:line="240" w:lineRule="auto"/>
        <w:rPr>
          <w:rFonts w:eastAsia="Times New Roman" w:cstheme="minorHAnsi"/>
          <w:bCs/>
          <w:i/>
          <w:iCs/>
          <w:lang w:eastAsia="it-IT"/>
        </w:rPr>
      </w:pPr>
      <w:r w:rsidRPr="003B5E60">
        <w:rPr>
          <w:rFonts w:eastAsia="Times New Roman" w:cstheme="minorHAnsi"/>
          <w:bCs/>
          <w:i/>
          <w:iCs/>
          <w:lang w:eastAsia="it-IT"/>
        </w:rPr>
        <w:t xml:space="preserve">In relazione alla differente disciplina delle modalità di copertura e delle verifiche da effettuare ai fini dell’attestazione della copertura finanziaria dei provvedimenti che danno luogo ad impegni concernenti investimenti, per ciascun esercizio compreso nel bilancio di previsione successivo a quello in corso di gestione, tale saldo positivo è distinto nelle seguenti componenti </w:t>
      </w:r>
      <w:r w:rsidRPr="003B5E60">
        <w:rPr>
          <w:rFonts w:eastAsia="Times New Roman" w:cstheme="minorHAnsi"/>
          <w:bCs/>
          <w:i/>
          <w:iCs/>
          <w:vertAlign w:val="superscript"/>
          <w:lang w:eastAsia="it-IT"/>
        </w:rPr>
        <w:footnoteReference w:id="2"/>
      </w:r>
      <w:r w:rsidRPr="003B5E60">
        <w:rPr>
          <w:rFonts w:eastAsia="Times New Roman" w:cstheme="minorHAnsi"/>
          <w:bCs/>
          <w:i/>
          <w:iCs/>
          <w:lang w:eastAsia="it-IT"/>
        </w:rPr>
        <w:t>:</w:t>
      </w:r>
    </w:p>
    <w:p w14:paraId="6589B083" w14:textId="77777777" w:rsidR="0050356C" w:rsidRPr="003B5E60" w:rsidRDefault="0050356C" w:rsidP="0050356C">
      <w:pPr>
        <w:numPr>
          <w:ilvl w:val="0"/>
          <w:numId w:val="45"/>
        </w:numPr>
        <w:spacing w:after="0" w:line="240" w:lineRule="auto"/>
        <w:ind w:left="426" w:hanging="284"/>
        <w:contextualSpacing/>
        <w:rPr>
          <w:rFonts w:eastAsia="Times New Roman" w:cstheme="minorHAnsi"/>
          <w:bCs/>
          <w:i/>
          <w:iCs/>
          <w:lang w:eastAsia="it-IT"/>
        </w:rPr>
      </w:pPr>
      <w:r w:rsidRPr="003B5E60">
        <w:rPr>
          <w:rFonts w:eastAsia="Times New Roman" w:cstheme="minorHAnsi"/>
          <w:bCs/>
          <w:i/>
          <w:iCs/>
          <w:lang w:eastAsia="it-IT"/>
        </w:rPr>
        <w:lastRenderedPageBreak/>
        <w:t>una quota di importo non superiore al limite previsto dal principio contabile generale n. 16, specificato dal principio applicato della contabilità finanziaria  n. 5.3.6,</w:t>
      </w:r>
    </w:p>
    <w:p w14:paraId="6E458F02" w14:textId="77777777" w:rsidR="0050356C" w:rsidRPr="003B5E60" w:rsidRDefault="0050356C" w:rsidP="0050356C">
      <w:pPr>
        <w:numPr>
          <w:ilvl w:val="0"/>
          <w:numId w:val="45"/>
        </w:numPr>
        <w:spacing w:after="0" w:line="240" w:lineRule="auto"/>
        <w:ind w:left="426" w:hanging="284"/>
        <w:contextualSpacing/>
        <w:rPr>
          <w:rFonts w:eastAsia="Times New Roman" w:cstheme="minorHAnsi"/>
          <w:bCs/>
          <w:i/>
          <w:iCs/>
          <w:lang w:eastAsia="it-IT"/>
        </w:rPr>
      </w:pPr>
      <w:r w:rsidRPr="003B5E60">
        <w:rPr>
          <w:rFonts w:eastAsia="Times New Roman" w:cstheme="minorHAnsi"/>
          <w:bCs/>
          <w:i/>
          <w:iCs/>
          <w:lang w:eastAsia="it-IT"/>
        </w:rPr>
        <w:t>una quota costituita dal 50% del margine corrente derivante dall’applicazione di nuove o maggiori aliquote fiscali e dalla maggiorazione di oneri concessori e sanzioni, formalmente deliberate,</w:t>
      </w:r>
    </w:p>
    <w:p w14:paraId="7D8C3330" w14:textId="77777777" w:rsidR="0050356C" w:rsidRPr="003B5E60" w:rsidRDefault="0050356C" w:rsidP="0050356C">
      <w:pPr>
        <w:numPr>
          <w:ilvl w:val="0"/>
          <w:numId w:val="45"/>
        </w:numPr>
        <w:spacing w:after="0" w:line="240" w:lineRule="auto"/>
        <w:ind w:left="426" w:hanging="284"/>
        <w:contextualSpacing/>
        <w:rPr>
          <w:rFonts w:eastAsia="Times New Roman" w:cstheme="minorHAnsi"/>
          <w:bCs/>
          <w:i/>
          <w:iCs/>
          <w:lang w:eastAsia="it-IT"/>
        </w:rPr>
      </w:pPr>
      <w:r w:rsidRPr="003B5E60">
        <w:rPr>
          <w:rFonts w:eastAsia="Times New Roman" w:cstheme="minorHAnsi"/>
          <w:bCs/>
          <w:i/>
          <w:iCs/>
          <w:lang w:eastAsia="it-IT"/>
        </w:rPr>
        <w:t>una quota derivante da riduzioni permanenti di spese correnti, già realizzate, risultanti da un titolo giuridico perfezionato.</w:t>
      </w:r>
    </w:p>
    <w:p w14:paraId="0694B532" w14:textId="77777777" w:rsidR="0050356C" w:rsidRPr="003B5E60" w:rsidRDefault="0050356C" w:rsidP="0050356C">
      <w:pPr>
        <w:spacing w:after="0" w:line="240" w:lineRule="auto"/>
        <w:contextualSpacing/>
        <w:rPr>
          <w:rFonts w:eastAsia="Times New Roman" w:cstheme="minorHAnsi"/>
          <w:bCs/>
          <w:i/>
          <w:iCs/>
          <w:lang w:eastAsia="it-IT"/>
        </w:rPr>
      </w:pPr>
    </w:p>
    <w:p w14:paraId="11F80347" w14:textId="77777777" w:rsidR="0050356C" w:rsidRPr="003B5E60" w:rsidRDefault="0050356C" w:rsidP="0050356C">
      <w:pPr>
        <w:spacing w:after="0" w:line="240" w:lineRule="auto"/>
        <w:contextualSpacing/>
        <w:rPr>
          <w:rFonts w:eastAsia="Times New Roman" w:cstheme="minorHAnsi"/>
          <w:bCs/>
          <w:i/>
          <w:iCs/>
          <w:lang w:eastAsia="it-IT"/>
        </w:rPr>
      </w:pPr>
      <w:r w:rsidRPr="003B5E60">
        <w:rPr>
          <w:rFonts w:eastAsia="Times New Roman" w:cstheme="minorHAnsi"/>
          <w:bCs/>
          <w:i/>
          <w:iCs/>
          <w:lang w:eastAsia="it-IT"/>
        </w:rPr>
        <w:t>Con riferimento a ciascuna quota del saldo positivo di parte corrente previsto nel prospetto degli equilibri allegato al bilancio relativo agli esercizi successivi al primo, la nota integrativa:</w:t>
      </w:r>
    </w:p>
    <w:p w14:paraId="72A27289" w14:textId="77777777" w:rsidR="0050356C" w:rsidRPr="003B5E60" w:rsidRDefault="0050356C" w:rsidP="0050356C">
      <w:pPr>
        <w:numPr>
          <w:ilvl w:val="0"/>
          <w:numId w:val="46"/>
        </w:numPr>
        <w:tabs>
          <w:tab w:val="left" w:pos="567"/>
        </w:tabs>
        <w:spacing w:after="0" w:line="240" w:lineRule="auto"/>
        <w:ind w:left="426" w:hanging="284"/>
        <w:contextualSpacing/>
        <w:rPr>
          <w:rFonts w:eastAsia="Times New Roman" w:cstheme="minorHAnsi"/>
          <w:bCs/>
          <w:i/>
          <w:iCs/>
          <w:lang w:eastAsia="it-IT"/>
        </w:rPr>
      </w:pPr>
      <w:r w:rsidRPr="003B5E60">
        <w:rPr>
          <w:rFonts w:eastAsia="Times New Roman" w:cstheme="minorHAnsi"/>
          <w:bCs/>
          <w:i/>
          <w:iCs/>
          <w:lang w:eastAsia="it-IT"/>
        </w:rPr>
        <w:t xml:space="preserve">descrive le modalità di quantificazione della stessa; </w:t>
      </w:r>
    </w:p>
    <w:p w14:paraId="5D10F75D" w14:textId="77777777" w:rsidR="0050356C" w:rsidRPr="003B5E60" w:rsidRDefault="0050356C" w:rsidP="0050356C">
      <w:pPr>
        <w:numPr>
          <w:ilvl w:val="0"/>
          <w:numId w:val="46"/>
        </w:numPr>
        <w:tabs>
          <w:tab w:val="left" w:pos="567"/>
        </w:tabs>
        <w:spacing w:after="0" w:line="240" w:lineRule="auto"/>
        <w:ind w:left="426" w:hanging="284"/>
        <w:contextualSpacing/>
        <w:rPr>
          <w:rFonts w:eastAsia="Times New Roman" w:cstheme="minorHAnsi"/>
          <w:bCs/>
          <w:i/>
          <w:iCs/>
          <w:lang w:eastAsia="it-IT"/>
        </w:rPr>
      </w:pPr>
      <w:r w:rsidRPr="003B5E60">
        <w:rPr>
          <w:rFonts w:eastAsia="Times New Roman" w:cstheme="minorHAnsi"/>
          <w:bCs/>
          <w:i/>
          <w:iCs/>
          <w:lang w:eastAsia="it-IT"/>
        </w:rPr>
        <w:t>da atto del rispetto delle condizioni e dei limiti previsti dal principio contabile generale n. 16 della competenza finanziaria e dei relativi principi applicati;</w:t>
      </w:r>
    </w:p>
    <w:p w14:paraId="6EEEA5E4" w14:textId="77777777" w:rsidR="0050356C" w:rsidRPr="003B5E60" w:rsidRDefault="0050356C" w:rsidP="0050356C">
      <w:pPr>
        <w:numPr>
          <w:ilvl w:val="0"/>
          <w:numId w:val="46"/>
        </w:numPr>
        <w:tabs>
          <w:tab w:val="left" w:pos="567"/>
        </w:tabs>
        <w:spacing w:after="0" w:line="240" w:lineRule="auto"/>
        <w:ind w:left="426" w:hanging="284"/>
        <w:contextualSpacing/>
        <w:rPr>
          <w:rFonts w:eastAsia="Times New Roman" w:cstheme="minorHAnsi"/>
          <w:bCs/>
          <w:i/>
          <w:iCs/>
          <w:lang w:eastAsia="it-IT"/>
        </w:rPr>
      </w:pPr>
      <w:r w:rsidRPr="003B5E60">
        <w:rPr>
          <w:rFonts w:eastAsia="Times New Roman" w:cstheme="minorHAnsi"/>
          <w:bCs/>
          <w:i/>
          <w:iCs/>
          <w:lang w:eastAsia="it-IT"/>
        </w:rPr>
        <w:t>riporta l’elenco dei capitoli/articoli di spesa concernenti gli investimenti che si prevede di stanziare nel bilancio gestionale/PEG per gli esercizi successivi a quello in corso di gestione, e di cui ciascuna componente del saldo positivo costituisce la copertura finanziaria.</w:t>
      </w:r>
    </w:p>
    <w:p w14:paraId="545F0660" w14:textId="77777777" w:rsidR="0050356C" w:rsidRPr="003B5E60" w:rsidRDefault="0050356C" w:rsidP="0050356C">
      <w:pPr>
        <w:spacing w:after="0" w:line="240" w:lineRule="auto"/>
        <w:contextualSpacing/>
        <w:rPr>
          <w:rFonts w:eastAsia="Times New Roman" w:cstheme="minorHAnsi"/>
          <w:bCs/>
          <w:i/>
          <w:iCs/>
          <w:lang w:eastAsia="it-IT"/>
        </w:rPr>
      </w:pPr>
    </w:p>
    <w:p w14:paraId="5C84761A" w14:textId="77777777" w:rsidR="0050356C" w:rsidRPr="003B5E60" w:rsidRDefault="0050356C" w:rsidP="0050356C">
      <w:pPr>
        <w:spacing w:after="0" w:line="240" w:lineRule="auto"/>
        <w:contextualSpacing/>
        <w:rPr>
          <w:rFonts w:eastAsia="Times New Roman" w:cstheme="minorHAnsi"/>
          <w:bCs/>
          <w:i/>
          <w:iCs/>
          <w:lang w:eastAsia="it-IT"/>
        </w:rPr>
      </w:pPr>
      <w:r w:rsidRPr="003B5E60">
        <w:rPr>
          <w:rFonts w:eastAsia="Times New Roman" w:cstheme="minorHAnsi"/>
          <w:bCs/>
          <w:i/>
          <w:iCs/>
          <w:lang w:eastAsia="it-IT"/>
        </w:rPr>
        <w:t xml:space="preserve">In occasione dell’attestazione di copertura finanziaria, la consueta verifica concernente la </w:t>
      </w:r>
    </w:p>
    <w:p w14:paraId="60B3AC7E" w14:textId="77777777" w:rsidR="0050356C" w:rsidRPr="003B5E60" w:rsidRDefault="0050356C" w:rsidP="0050356C">
      <w:pPr>
        <w:spacing w:after="0" w:line="240" w:lineRule="auto"/>
        <w:contextualSpacing/>
        <w:rPr>
          <w:rFonts w:eastAsia="Times New Roman" w:cstheme="minorHAnsi"/>
          <w:bCs/>
          <w:i/>
          <w:iCs/>
          <w:lang w:eastAsia="it-IT"/>
        </w:rPr>
      </w:pPr>
      <w:r w:rsidRPr="003B5E60">
        <w:rPr>
          <w:rFonts w:eastAsia="Times New Roman" w:cstheme="minorHAnsi"/>
          <w:bCs/>
          <w:i/>
          <w:iCs/>
          <w:lang w:eastAsia="it-IT"/>
        </w:rPr>
        <w:t>capienza degli stanziamenti, sia riferiti all’esercizio in corso che a quelli successivi, riguardanti tali capitoli/articoli costituisce il riscontro della copertura finanziaria dei provvedimenti che comportano impegni per investimenti finanziati dal saldo positivo di parte corrente previsto nel prospetto degli equilibri allegato al bilancio.</w:t>
      </w:r>
    </w:p>
    <w:p w14:paraId="67ED50F0" w14:textId="77777777" w:rsidR="0050356C" w:rsidRPr="003B5E60" w:rsidRDefault="0050356C" w:rsidP="0050356C">
      <w:pPr>
        <w:autoSpaceDE w:val="0"/>
        <w:autoSpaceDN w:val="0"/>
        <w:adjustRightInd w:val="0"/>
        <w:spacing w:after="0" w:line="240" w:lineRule="auto"/>
        <w:ind w:right="-2"/>
        <w:contextualSpacing/>
        <w:rPr>
          <w:rFonts w:eastAsia="Times New Roman" w:cstheme="minorHAnsi"/>
          <w:bCs/>
          <w:i/>
          <w:iCs/>
          <w:lang w:eastAsia="zh-TW"/>
        </w:rPr>
      </w:pPr>
    </w:p>
    <w:p w14:paraId="1646E7FF" w14:textId="77777777" w:rsidR="0050356C" w:rsidRPr="003B5E60" w:rsidRDefault="0050356C" w:rsidP="0050356C">
      <w:pPr>
        <w:autoSpaceDE w:val="0"/>
        <w:autoSpaceDN w:val="0"/>
        <w:adjustRightInd w:val="0"/>
        <w:spacing w:after="0" w:line="240" w:lineRule="auto"/>
        <w:ind w:right="-284"/>
        <w:contextualSpacing/>
        <w:rPr>
          <w:rFonts w:cstheme="minorHAnsi"/>
        </w:rPr>
      </w:pPr>
      <w:r w:rsidRPr="003B5E60">
        <w:rPr>
          <w:rFonts w:eastAsia="Times New Roman" w:cstheme="minorHAnsi"/>
          <w:bCs/>
          <w:i/>
          <w:iCs/>
          <w:lang w:eastAsia="zh-TW"/>
        </w:rPr>
        <w:t>In occasione di variazioni di bilancio che modificano la previsione del margine corrente è possibile variare anche la sezione della nota integrativa che elenca gli investimenti finanziati con la previsione del margine corrente, al fine di consentire le attestazioni di copertura finanziaria di provvedimenti che comportano impegni per investimenti.</w:t>
      </w:r>
    </w:p>
    <w:p w14:paraId="6EF740DD" w14:textId="77777777" w:rsidR="008A2664" w:rsidRDefault="008A2664" w:rsidP="008A2664">
      <w:pPr>
        <w:spacing w:before="100" w:beforeAutospacing="1" w:after="100" w:afterAutospacing="1" w:line="360" w:lineRule="auto"/>
        <w:jc w:val="center"/>
        <w:rPr>
          <w:rFonts w:ascii="Times New Roman" w:eastAsia="Times New Roman" w:hAnsi="Times New Roman" w:cs="Times New Roman"/>
          <w:color w:val="auto"/>
          <w:sz w:val="20"/>
          <w:szCs w:val="20"/>
          <w:lang w:eastAsia="it-IT"/>
        </w:rPr>
      </w:pPr>
    </w:p>
    <w:p w14:paraId="7DAFF14D"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r>
        <w:rPr>
          <w:b/>
        </w:rPr>
        <w:t xml:space="preserve">§ </w:t>
      </w:r>
      <w:r w:rsidR="00112A54">
        <w:rPr>
          <w:b/>
        </w:rPr>
        <w:t>9.11.7</w:t>
      </w:r>
      <w:r w:rsidR="00112A54">
        <w:t xml:space="preserve"> </w:t>
      </w:r>
      <w:r w:rsidRPr="00277696">
        <w:rPr>
          <w:rFonts w:eastAsia="Times New Roman" w:cstheme="minorHAnsi"/>
          <w:bCs/>
          <w:i/>
          <w:iCs/>
          <w:lang w:eastAsia="it-IT"/>
        </w:rPr>
        <w:t>Gli enti che in sede di approvazione del bilancio presentano un disavanzo di amministrazione presunto descrivono nella Nota illustrativa le cause che hanno determinato tale risultato e gli interventi che si intende assumere al riguardo.</w:t>
      </w:r>
    </w:p>
    <w:p w14:paraId="61C91B5F"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p>
    <w:p w14:paraId="7B2BE3D9"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r w:rsidRPr="00277696">
        <w:rPr>
          <w:rFonts w:eastAsia="Times New Roman" w:cstheme="minorHAnsi"/>
          <w:bCs/>
          <w:i/>
          <w:iCs/>
          <w:lang w:eastAsia="it-IT"/>
        </w:rPr>
        <w:t>Nella Nota illustrativa possono essere individuati i maggiori accertamenti e/o i minori impegni che si prevede di registrare nel corso di ciascun esercizio in attuazione degli eventuali piani di rientro adottati. Tale indicazione consente annualmente di verificare il ripiano del disavanzo effettuato e di individuare l’eventuale ulteriore disavanzo che potrebbe formarsi nel corso di ciascun esercizio.</w:t>
      </w:r>
    </w:p>
    <w:p w14:paraId="5DD101F4"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p>
    <w:p w14:paraId="3644CCE0"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p>
    <w:p w14:paraId="0874820C"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r w:rsidRPr="00277696">
        <w:rPr>
          <w:rFonts w:eastAsia="Times New Roman" w:cstheme="minorHAnsi"/>
          <w:bCs/>
          <w:i/>
          <w:iCs/>
          <w:lang w:eastAsia="it-IT"/>
        </w:rPr>
        <w:t>Gli enti che erano già in disavanzo al 31 dicembre dell’esercizio precedente illustrano altresì le attività svolte per il ripiano di tale disavanzo, segnalando se l’importo del disavanzo presunto al 31 dicembre è migliorato rispetto a quello risultante nell’esercizio precedente di un importo almeno pari a quello iscritto in via definitiva nel precedente bilancio di previsione alla voce “Disavanzo di amministrazione.</w:t>
      </w:r>
    </w:p>
    <w:p w14:paraId="78ADC393"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p>
    <w:p w14:paraId="3D34C79A"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r w:rsidRPr="00277696">
        <w:rPr>
          <w:rFonts w:eastAsia="Times New Roman" w:cstheme="minorHAnsi"/>
          <w:bCs/>
          <w:i/>
          <w:iCs/>
          <w:lang w:eastAsia="it-IT"/>
        </w:rPr>
        <w:t>Nel caso in cui tale miglioramento non sia stato realizzato, la Nota integrativa indica l’importo del disavanzo applicato al precedente bilancio di previsione che non è stato ripianato, distinguendolo dall’eventuale ulteriore disavanzo presunto formatosi nel corso dell’esercizio, secondo le modalità previste dal paragrafo 9.2.27 del principio applicato della contabilità finanziaria (allegato 4/2).</w:t>
      </w:r>
    </w:p>
    <w:p w14:paraId="2CDA39AF"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p>
    <w:p w14:paraId="4AE3C724"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p>
    <w:p w14:paraId="1F5B7E61"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r w:rsidRPr="00277696">
        <w:rPr>
          <w:rFonts w:eastAsia="Times New Roman" w:cstheme="minorHAnsi"/>
          <w:bCs/>
          <w:i/>
          <w:iCs/>
          <w:lang w:eastAsia="it-IT"/>
        </w:rPr>
        <w:t>Con particolare riferimento al disavanzo derivante dal riaccertamento straordinario dei residui l’articolo 4, comma 6, decreto del Ministero dell’economia e delle finanze, di concerto con il Ministero dell’interno, del 2 aprile 2015, concernente i criteri e le modalità di ripiano dell’eventuale maggiore disavanzo al 1° gennaio 2015, prevede "La nota integrativa al bilancio di previsione indica le modalità di copertura dell’eventuale disavanzo applicato al bilancio distintamente per la quota derivante dal riaccertamento straordinario rispetto a quella derivante dalla gestione ordinaria. La nota integrativa indica altresì le modalità di copertura contabile dell’eventuale disavanzo tecnico di cui all’articolo 3, comma 13, del decreto legislativo n. 118 del 2011."</w:t>
      </w:r>
    </w:p>
    <w:p w14:paraId="140C21F6"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p>
    <w:p w14:paraId="00FF5D1A" w14:textId="307FA23A" w:rsidR="00112A54" w:rsidRDefault="00277696" w:rsidP="00277696">
      <w:pPr>
        <w:tabs>
          <w:tab w:val="left" w:pos="993"/>
        </w:tabs>
        <w:spacing w:after="0" w:line="240" w:lineRule="auto"/>
        <w:contextualSpacing/>
        <w:rPr>
          <w:rFonts w:eastAsia="Times New Roman" w:cstheme="minorHAnsi"/>
          <w:bCs/>
          <w:i/>
          <w:iCs/>
          <w:lang w:eastAsia="it-IT"/>
        </w:rPr>
      </w:pPr>
      <w:r w:rsidRPr="00277696">
        <w:rPr>
          <w:rFonts w:eastAsia="Times New Roman" w:cstheme="minorHAnsi"/>
          <w:bCs/>
          <w:i/>
          <w:iCs/>
          <w:lang w:eastAsia="it-IT"/>
        </w:rPr>
        <w:t>Pertanto, la nota integrativa descrive la composizione del risultato di amministrazione presunto individuato nell’allegato a) al bilancio di previsione (lettera E), se negativo e, per ciascuna componente del disavanzo, indica le modalità di ripiano definite in attuazione delle rispettive discipline e l’importo da ripianare per ciascuno degli esercizi considerati nel bilancio di previsione.</w:t>
      </w:r>
    </w:p>
    <w:p w14:paraId="4CABE5BA" w14:textId="77777777" w:rsidR="00277696" w:rsidRDefault="00277696" w:rsidP="00277696">
      <w:pPr>
        <w:tabs>
          <w:tab w:val="left" w:pos="993"/>
        </w:tabs>
        <w:spacing w:after="0" w:line="240" w:lineRule="auto"/>
        <w:contextualSpacing/>
        <w:rPr>
          <w:rFonts w:eastAsia="Times New Roman" w:cstheme="minorHAnsi"/>
          <w:bCs/>
          <w:i/>
          <w:iCs/>
          <w:lang w:eastAsia="it-IT"/>
        </w:rPr>
      </w:pPr>
    </w:p>
    <w:p w14:paraId="7C6DD868" w14:textId="002E774E" w:rsidR="00277696" w:rsidRPr="00112A54" w:rsidRDefault="00277696" w:rsidP="00277696">
      <w:pPr>
        <w:tabs>
          <w:tab w:val="left" w:pos="993"/>
        </w:tabs>
        <w:spacing w:after="0" w:line="240" w:lineRule="auto"/>
        <w:contextualSpacing/>
        <w:rPr>
          <w:rFonts w:eastAsia="Times New Roman" w:cstheme="minorHAnsi"/>
          <w:bCs/>
          <w:i/>
          <w:iCs/>
          <w:lang w:eastAsia="it-IT"/>
        </w:rPr>
      </w:pPr>
      <w:r w:rsidRPr="00277696">
        <w:rPr>
          <w:rFonts w:eastAsia="Times New Roman" w:cstheme="minorHAnsi"/>
          <w:bCs/>
          <w:i/>
          <w:iCs/>
          <w:lang w:eastAsia="it-IT"/>
        </w:rPr>
        <w:t>Con riferimento agli enti locali, si richiama l’ultimo periodo dell’articolo 188, comma 1, del TUEL, il quale prevede che l'eventuale ulteriore disavanzo formatosi nel corso del periodo considerato nel piano di rientro deve essere coperto non oltre la scadenza del piano di rientro in corso.</w:t>
      </w:r>
    </w:p>
    <w:sectPr w:rsidR="00277696" w:rsidRPr="00112A54" w:rsidSect="00D11DF1">
      <w:pgSz w:w="11906" w:h="16838"/>
      <w:pgMar w:top="1985" w:right="1418" w:bottom="1418" w:left="1418" w:header="709"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1C514" w14:textId="77777777" w:rsidR="00AB2A26" w:rsidRDefault="00AB2A26" w:rsidP="00281EF7">
      <w:pPr>
        <w:spacing w:after="0" w:line="240" w:lineRule="auto"/>
      </w:pPr>
      <w:r>
        <w:separator/>
      </w:r>
    </w:p>
  </w:endnote>
  <w:endnote w:type="continuationSeparator" w:id="0">
    <w:p w14:paraId="54D27755" w14:textId="77777777" w:rsidR="00AB2A26" w:rsidRDefault="00AB2A26" w:rsidP="0028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imes New Roman (Titoli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Corpo)">
    <w:altName w:val="Calibri"/>
    <w:charset w:val="00"/>
    <w:family w:val="roman"/>
    <w:pitch w:val="default"/>
  </w:font>
  <w:font w:name="Times New Roman (Corpo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916072728"/>
      <w:docPartObj>
        <w:docPartGallery w:val="Page Numbers (Bottom of Page)"/>
        <w:docPartUnique/>
      </w:docPartObj>
    </w:sdtPr>
    <w:sdtContent>
      <w:p w14:paraId="7FA106C0" w14:textId="3A360EE4" w:rsidR="008532B5" w:rsidRDefault="008532B5" w:rsidP="00945416">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00216A7" w14:textId="77777777" w:rsidR="008532B5" w:rsidRDefault="008532B5" w:rsidP="008532B5">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2D007" w14:textId="56CA6BA1" w:rsidR="009D4EA8" w:rsidRDefault="009D4EA8">
    <w:pPr>
      <w:pStyle w:val="Pidipagina"/>
    </w:pPr>
    <w:r>
      <w:rPr>
        <w:noProof/>
        <w:lang w:eastAsia="it-IT"/>
      </w:rPr>
      <w:drawing>
        <wp:anchor distT="0" distB="0" distL="114300" distR="114300" simplePos="0" relativeHeight="251707392" behindDoc="1" locked="0" layoutInCell="1" allowOverlap="1" wp14:anchorId="2E8FF307" wp14:editId="725F4C81">
          <wp:simplePos x="0" y="0"/>
          <wp:positionH relativeFrom="column">
            <wp:posOffset>8846</wp:posOffset>
          </wp:positionH>
          <wp:positionV relativeFrom="paragraph">
            <wp:posOffset>-255030</wp:posOffset>
          </wp:positionV>
          <wp:extent cx="1104264" cy="417830"/>
          <wp:effectExtent l="0" t="0" r="1270" b="1270"/>
          <wp:wrapNone/>
          <wp:docPr id="24" name="Immagine 24" descr="Immagine che contiene testo, bottiglia, segnale, stovigli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bottiglia, segnale, stovigli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04264" cy="4178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b/>
        <w:bCs/>
        <w:sz w:val="21"/>
        <w:szCs w:val="20"/>
      </w:rPr>
      <w:id w:val="-1924484311"/>
      <w:docPartObj>
        <w:docPartGallery w:val="Page Numbers (Bottom of Page)"/>
        <w:docPartUnique/>
      </w:docPartObj>
    </w:sdtPr>
    <w:sdtContent>
      <w:p w14:paraId="0F75B131" w14:textId="34ACB633" w:rsidR="008532B5" w:rsidRPr="008532B5" w:rsidRDefault="008532B5" w:rsidP="00945416">
        <w:pPr>
          <w:pStyle w:val="Pidipagina"/>
          <w:framePr w:wrap="none" w:vAnchor="text" w:hAnchor="margin" w:y="1"/>
          <w:rPr>
            <w:rStyle w:val="Numeropagina"/>
            <w:b/>
            <w:bCs/>
            <w:sz w:val="21"/>
            <w:szCs w:val="20"/>
          </w:rPr>
        </w:pPr>
        <w:r w:rsidRPr="008532B5">
          <w:rPr>
            <w:rStyle w:val="Numeropagina"/>
            <w:b/>
            <w:bCs/>
            <w:color w:val="595959" w:themeColor="text1" w:themeTint="A6"/>
            <w:sz w:val="18"/>
            <w:szCs w:val="16"/>
          </w:rPr>
          <w:fldChar w:fldCharType="begin"/>
        </w:r>
        <w:r w:rsidRPr="008532B5">
          <w:rPr>
            <w:rStyle w:val="Numeropagina"/>
            <w:b/>
            <w:bCs/>
            <w:color w:val="595959" w:themeColor="text1" w:themeTint="A6"/>
            <w:sz w:val="18"/>
            <w:szCs w:val="16"/>
          </w:rPr>
          <w:instrText xml:space="preserve"> PAGE </w:instrText>
        </w:r>
        <w:r w:rsidRPr="008532B5">
          <w:rPr>
            <w:rStyle w:val="Numeropagina"/>
            <w:b/>
            <w:bCs/>
            <w:color w:val="595959" w:themeColor="text1" w:themeTint="A6"/>
            <w:sz w:val="18"/>
            <w:szCs w:val="16"/>
          </w:rPr>
          <w:fldChar w:fldCharType="separate"/>
        </w:r>
        <w:r w:rsidR="009E4F49">
          <w:rPr>
            <w:rStyle w:val="Numeropagina"/>
            <w:b/>
            <w:bCs/>
            <w:noProof/>
            <w:color w:val="595959" w:themeColor="text1" w:themeTint="A6"/>
            <w:sz w:val="18"/>
            <w:szCs w:val="16"/>
          </w:rPr>
          <w:t>5</w:t>
        </w:r>
        <w:r w:rsidRPr="008532B5">
          <w:rPr>
            <w:rStyle w:val="Numeropagina"/>
            <w:b/>
            <w:bCs/>
            <w:color w:val="595959" w:themeColor="text1" w:themeTint="A6"/>
            <w:sz w:val="18"/>
            <w:szCs w:val="16"/>
          </w:rPr>
          <w:fldChar w:fldCharType="end"/>
        </w:r>
      </w:p>
    </w:sdtContent>
  </w:sdt>
  <w:p w14:paraId="20B70C30" w14:textId="474F4C9F" w:rsidR="009B3FDC" w:rsidRDefault="008532B5" w:rsidP="008532B5">
    <w:pPr>
      <w:pStyle w:val="Pidipagina"/>
      <w:ind w:firstLine="360"/>
    </w:pPr>
    <w:r w:rsidRPr="002050D7">
      <w:rPr>
        <w:rFonts w:eastAsia="Calibri"/>
        <w:b/>
        <w:bCs/>
        <w:caps/>
        <w:noProof/>
        <w:lang w:eastAsia="it-IT"/>
      </w:rPr>
      <w:drawing>
        <wp:anchor distT="0" distB="0" distL="114300" distR="114300" simplePos="0" relativeHeight="251721728" behindDoc="1" locked="0" layoutInCell="1" allowOverlap="1" wp14:anchorId="483B54EA" wp14:editId="392C1D88">
          <wp:simplePos x="0" y="0"/>
          <wp:positionH relativeFrom="column">
            <wp:posOffset>330517</wp:posOffset>
          </wp:positionH>
          <wp:positionV relativeFrom="paragraph">
            <wp:posOffset>-96120</wp:posOffset>
          </wp:positionV>
          <wp:extent cx="287998" cy="948690"/>
          <wp:effectExtent l="0" t="317" r="4127" b="4128"/>
          <wp:wrapNone/>
          <wp:docPr id="85825216" name="Immagine 8582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8F4E5" w14:textId="77777777" w:rsidR="00AB2A26" w:rsidRDefault="00AB2A26" w:rsidP="00281EF7">
      <w:pPr>
        <w:spacing w:after="0" w:line="240" w:lineRule="auto"/>
      </w:pPr>
      <w:r>
        <w:separator/>
      </w:r>
    </w:p>
  </w:footnote>
  <w:footnote w:type="continuationSeparator" w:id="0">
    <w:p w14:paraId="607DF743" w14:textId="77777777" w:rsidR="00AB2A26" w:rsidRDefault="00AB2A26" w:rsidP="00281EF7">
      <w:pPr>
        <w:spacing w:after="0" w:line="240" w:lineRule="auto"/>
      </w:pPr>
      <w:r>
        <w:continuationSeparator/>
      </w:r>
    </w:p>
  </w:footnote>
  <w:footnote w:id="1">
    <w:p w14:paraId="393EEF30" w14:textId="77777777" w:rsidR="0050356C" w:rsidRDefault="0050356C" w:rsidP="0050356C">
      <w:pPr>
        <w:pStyle w:val="Testonotaapidipagina"/>
      </w:pPr>
      <w:r>
        <w:rPr>
          <w:rStyle w:val="Rimandonotaapidipagina"/>
        </w:rPr>
        <w:footnoteRef/>
      </w:r>
      <w:r>
        <w:t xml:space="preserve"> Indicare il numero effettivo di giorni in caso di estinzione in corso di anno.</w:t>
      </w:r>
    </w:p>
  </w:footnote>
  <w:footnote w:id="2">
    <w:p w14:paraId="3E6ADE34" w14:textId="77777777" w:rsidR="0050356C" w:rsidRDefault="0050356C" w:rsidP="0050356C">
      <w:pPr>
        <w:pStyle w:val="Testonotaapidipagina"/>
      </w:pPr>
      <w:r>
        <w:rPr>
          <w:rStyle w:val="Rimandonotaapidipagina"/>
        </w:rPr>
        <w:footnoteRef/>
      </w:r>
      <w:r>
        <w:t xml:space="preserve"> La seconda e terza componente è eventuale. </w:t>
      </w:r>
    </w:p>
    <w:p w14:paraId="24DB3B99" w14:textId="77777777" w:rsidR="0050356C" w:rsidRDefault="0050356C" w:rsidP="0050356C">
      <w:pPr>
        <w:pStyle w:val="Testonotaapidipagina"/>
      </w:pPr>
      <w:r>
        <w:t>Non esistono se non sono previste riduzioni permanenti delle spese correnti o incrementi delle aliquote tributarie.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9F1BF" w14:textId="02E1B9EE" w:rsidR="009D4EA8" w:rsidRPr="009731D1" w:rsidRDefault="00D60A93" w:rsidP="00507D45">
    <w:pPr>
      <w:pStyle w:val="TipoDocumento"/>
      <w:spacing w:after="0"/>
      <w:ind w:right="848"/>
      <w:rPr>
        <w:sz w:val="16"/>
        <w:szCs w:val="17"/>
      </w:rPr>
    </w:pPr>
    <w:r>
      <w:rPr>
        <w:noProof/>
        <w:lang w:eastAsia="it-IT"/>
      </w:rPr>
      <w:drawing>
        <wp:anchor distT="0" distB="0" distL="114300" distR="114300" simplePos="0" relativeHeight="251727872" behindDoc="0" locked="0" layoutInCell="1" allowOverlap="1" wp14:anchorId="19256C43" wp14:editId="38BD6EF3">
          <wp:simplePos x="0" y="0"/>
          <wp:positionH relativeFrom="column">
            <wp:posOffset>4899660</wp:posOffset>
          </wp:positionH>
          <wp:positionV relativeFrom="paragraph">
            <wp:posOffset>-71755</wp:posOffset>
          </wp:positionV>
          <wp:extent cx="864000" cy="414492"/>
          <wp:effectExtent l="0" t="0" r="0" b="5080"/>
          <wp:wrapNone/>
          <wp:docPr id="1486477183" name="Immagine 148647718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77183" name="Immagine 1486477183" descr="Immagine che contiene testo, Carattere, logo, Elementi grafici&#10;&#10;Descrizione generata automaticamente"/>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864000" cy="4144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724800" behindDoc="0" locked="0" layoutInCell="1" allowOverlap="1" wp14:anchorId="344F76FE" wp14:editId="1AD483CA">
          <wp:simplePos x="0" y="0"/>
          <wp:positionH relativeFrom="column">
            <wp:posOffset>4021455</wp:posOffset>
          </wp:positionH>
          <wp:positionV relativeFrom="paragraph">
            <wp:posOffset>-86995</wp:posOffset>
          </wp:positionV>
          <wp:extent cx="756000" cy="461839"/>
          <wp:effectExtent l="0" t="0" r="6350" b="0"/>
          <wp:wrapNone/>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a:picLocks noChangeAspect="1" noChangeArrowheads="1"/>
                  </pic:cNvPicPr>
                </pic:nvPicPr>
                <pic:blipFill>
                  <a:blip r:embed="rId2">
                    <a:alphaModFix amt="70000"/>
                    <a:extLst>
                      <a:ext uri="{28A0092B-C50C-407E-A947-70E740481C1C}">
                        <a14:useLocalDpi xmlns:a14="http://schemas.microsoft.com/office/drawing/2010/main" val="0"/>
                      </a:ext>
                    </a:extLst>
                  </a:blip>
                  <a:srcRect/>
                  <a:stretch>
                    <a:fillRect/>
                  </a:stretch>
                </pic:blipFill>
                <pic:spPr bwMode="auto">
                  <a:xfrm>
                    <a:off x="0" y="0"/>
                    <a:ext cx="756000" cy="4618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1D1">
      <w:rPr>
        <w:rFonts w:ascii="Calibri" w:eastAsia="Calibri" w:hAnsi="Calibri" w:cs="Calibri"/>
        <w:smallCaps/>
        <w:noProof/>
        <w:color w:val="FFFFFF" w:themeColor="background1"/>
        <w:sz w:val="40"/>
        <w:szCs w:val="40"/>
        <w:lang w:eastAsia="it-IT"/>
      </w:rPr>
      <w:drawing>
        <wp:anchor distT="0" distB="0" distL="114300" distR="114300" simplePos="0" relativeHeight="251709440" behindDoc="0" locked="0" layoutInCell="1" allowOverlap="1" wp14:anchorId="296D8DA0" wp14:editId="26B29910">
          <wp:simplePos x="0" y="0"/>
          <wp:positionH relativeFrom="column">
            <wp:posOffset>2718435</wp:posOffset>
          </wp:positionH>
          <wp:positionV relativeFrom="paragraph">
            <wp:posOffset>-27940</wp:posOffset>
          </wp:positionV>
          <wp:extent cx="1116000" cy="365493"/>
          <wp:effectExtent l="0" t="0" r="8255"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3">
                    <a:alphaModFix amt="70000"/>
                    <a:extLst>
                      <a:ext uri="{28A0092B-C50C-407E-A947-70E740481C1C}">
                        <a14:useLocalDpi xmlns:a14="http://schemas.microsoft.com/office/drawing/2010/main" val="0"/>
                      </a:ext>
                    </a:extLst>
                  </a:blip>
                  <a:srcRect/>
                  <a:stretch>
                    <a:fillRect/>
                  </a:stretch>
                </pic:blipFill>
                <pic:spPr bwMode="auto">
                  <a:xfrm>
                    <a:off x="0" y="0"/>
                    <a:ext cx="1116000" cy="365493"/>
                  </a:xfrm>
                  <a:prstGeom prst="rect">
                    <a:avLst/>
                  </a:prstGeom>
                  <a:noFill/>
                </pic:spPr>
              </pic:pic>
            </a:graphicData>
          </a:graphic>
          <wp14:sizeRelH relativeFrom="margin">
            <wp14:pctWidth>0</wp14:pctWidth>
          </wp14:sizeRelH>
          <wp14:sizeRelV relativeFrom="margin">
            <wp14:pctHeight>0</wp14:pctHeight>
          </wp14:sizeRelV>
        </wp:anchor>
      </w:drawing>
    </w:r>
    <w:r w:rsidR="009731D1" w:rsidRPr="002050D7">
      <w:rPr>
        <w:rFonts w:eastAsia="Calibri"/>
        <w:noProof/>
        <w:lang w:eastAsia="it-IT"/>
      </w:rPr>
      <w:drawing>
        <wp:anchor distT="0" distB="0" distL="114300" distR="114300" simplePos="0" relativeHeight="251713536" behindDoc="1" locked="0" layoutInCell="1" allowOverlap="1" wp14:anchorId="238C4224" wp14:editId="0B67012E">
          <wp:simplePos x="0" y="0"/>
          <wp:positionH relativeFrom="column">
            <wp:posOffset>328396</wp:posOffset>
          </wp:positionH>
          <wp:positionV relativeFrom="paragraph">
            <wp:posOffset>-804025</wp:posOffset>
          </wp:positionV>
          <wp:extent cx="287998" cy="948690"/>
          <wp:effectExtent l="0" t="317" r="4127" b="4128"/>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31D1" w:rsidRPr="009731D1">
      <w:rPr>
        <w:sz w:val="16"/>
        <w:szCs w:val="17"/>
      </w:rPr>
      <w:t>documento</w:t>
    </w:r>
  </w:p>
  <w:p w14:paraId="56A2F7C4" w14:textId="52F897EC" w:rsidR="00D60A93" w:rsidRDefault="003448F7" w:rsidP="00D60A93">
    <w:pPr>
      <w:tabs>
        <w:tab w:val="right" w:pos="9070"/>
      </w:tabs>
      <w:spacing w:after="0" w:line="240" w:lineRule="auto"/>
      <w:rPr>
        <w:b/>
        <w:bCs/>
        <w:color w:val="595959" w:themeColor="text1" w:themeTint="A6"/>
        <w:sz w:val="18"/>
        <w:szCs w:val="16"/>
      </w:rPr>
    </w:pPr>
    <w:r>
      <w:rPr>
        <w:b/>
        <w:bCs/>
        <w:color w:val="595959" w:themeColor="text1" w:themeTint="A6"/>
        <w:sz w:val="18"/>
        <w:szCs w:val="16"/>
      </w:rPr>
      <w:t>Parere dell’</w:t>
    </w:r>
    <w:r w:rsidR="0045691F">
      <w:rPr>
        <w:b/>
        <w:bCs/>
        <w:color w:val="595959" w:themeColor="text1" w:themeTint="A6"/>
        <w:sz w:val="18"/>
        <w:szCs w:val="16"/>
      </w:rPr>
      <w:t xml:space="preserve">organo di revisione sulla proposta di </w:t>
    </w:r>
  </w:p>
  <w:p w14:paraId="5ED6165F" w14:textId="31DB018F" w:rsidR="009731D1" w:rsidRPr="009731D1" w:rsidRDefault="003448F7" w:rsidP="00F8628F">
    <w:pPr>
      <w:tabs>
        <w:tab w:val="right" w:pos="9070"/>
      </w:tabs>
      <w:spacing w:after="0" w:line="240" w:lineRule="auto"/>
      <w:rPr>
        <w:b/>
        <w:bCs/>
        <w:color w:val="7F7F7F" w:themeColor="text1" w:themeTint="80"/>
        <w:sz w:val="18"/>
        <w:szCs w:val="16"/>
      </w:rPr>
    </w:pPr>
    <w:r>
      <w:rPr>
        <w:b/>
        <w:bCs/>
        <w:color w:val="595959" w:themeColor="text1" w:themeTint="A6"/>
        <w:sz w:val="18"/>
        <w:szCs w:val="16"/>
      </w:rPr>
      <w:t>bilancio di previsione 202</w:t>
    </w:r>
    <w:r w:rsidR="00B97E58">
      <w:rPr>
        <w:b/>
        <w:bCs/>
        <w:color w:val="595959" w:themeColor="text1" w:themeTint="A6"/>
        <w:sz w:val="18"/>
        <w:szCs w:val="16"/>
      </w:rPr>
      <w:t>5</w:t>
    </w:r>
    <w:r>
      <w:rPr>
        <w:b/>
        <w:bCs/>
        <w:color w:val="595959" w:themeColor="text1" w:themeTint="A6"/>
        <w:sz w:val="18"/>
        <w:szCs w:val="16"/>
      </w:rPr>
      <w:t>-202</w:t>
    </w:r>
    <w:r w:rsidR="00B97E58">
      <w:rPr>
        <w:b/>
        <w:bCs/>
        <w:color w:val="595959" w:themeColor="text1" w:themeTint="A6"/>
        <w:sz w:val="18"/>
        <w:szCs w:val="16"/>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1F9FF" w14:textId="71F208C2" w:rsidR="00EA572C" w:rsidRDefault="00875C18">
    <w:pPr>
      <w:pStyle w:val="Intestazione"/>
    </w:pPr>
    <w:r>
      <w:rPr>
        <w:noProof/>
        <w:lang w:eastAsia="it-IT"/>
      </w:rPr>
      <w:drawing>
        <wp:anchor distT="0" distB="0" distL="114300" distR="114300" simplePos="0" relativeHeight="251722752" behindDoc="0" locked="0" layoutInCell="1" allowOverlap="1" wp14:anchorId="25CD9E61" wp14:editId="34740C89">
          <wp:simplePos x="0" y="0"/>
          <wp:positionH relativeFrom="column">
            <wp:posOffset>3571875</wp:posOffset>
          </wp:positionH>
          <wp:positionV relativeFrom="paragraph">
            <wp:posOffset>52070</wp:posOffset>
          </wp:positionV>
          <wp:extent cx="1080000" cy="660849"/>
          <wp:effectExtent l="0" t="0" r="6350"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608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1D1">
      <w:rPr>
        <w:rFonts w:ascii="Calibri" w:eastAsia="Calibri" w:hAnsi="Calibri" w:cs="Calibri"/>
        <w:b/>
        <w:smallCaps/>
        <w:noProof/>
        <w:color w:val="FFFFFF" w:themeColor="background1"/>
        <w:sz w:val="40"/>
        <w:szCs w:val="40"/>
        <w:lang w:eastAsia="it-IT"/>
      </w:rPr>
      <w:drawing>
        <wp:anchor distT="0" distB="0" distL="114300" distR="114300" simplePos="0" relativeHeight="251717632" behindDoc="0" locked="0" layoutInCell="1" allowOverlap="1" wp14:anchorId="049B35C8" wp14:editId="651D07C1">
          <wp:simplePos x="0" y="0"/>
          <wp:positionH relativeFrom="column">
            <wp:posOffset>1793875</wp:posOffset>
          </wp:positionH>
          <wp:positionV relativeFrom="paragraph">
            <wp:posOffset>144145</wp:posOffset>
          </wp:positionV>
          <wp:extent cx="1548000" cy="506974"/>
          <wp:effectExtent l="0" t="0" r="0" b="7620"/>
          <wp:wrapNone/>
          <wp:docPr id="30" name="Immagine 3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000" cy="506974"/>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725824" behindDoc="0" locked="0" layoutInCell="1" allowOverlap="1" wp14:anchorId="76FFEBBE" wp14:editId="457CF159">
          <wp:simplePos x="0" y="0"/>
          <wp:positionH relativeFrom="column">
            <wp:posOffset>4813935</wp:posOffset>
          </wp:positionH>
          <wp:positionV relativeFrom="paragraph">
            <wp:posOffset>93980</wp:posOffset>
          </wp:positionV>
          <wp:extent cx="1224000" cy="587194"/>
          <wp:effectExtent l="0" t="0" r="0" b="3810"/>
          <wp:wrapNone/>
          <wp:docPr id="17106328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5871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4BC"/>
    <w:multiLevelType w:val="hybridMultilevel"/>
    <w:tmpl w:val="F5820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155D0A"/>
    <w:multiLevelType w:val="multilevel"/>
    <w:tmpl w:val="94D08C70"/>
    <w:lvl w:ilvl="0">
      <w:start w:val="1"/>
      <w:numFmt w:val="decimal"/>
      <w:lvlText w:val="%1."/>
      <w:lvlJc w:val="left"/>
      <w:pPr>
        <w:ind w:left="360" w:hanging="360"/>
      </w:pPr>
    </w:lvl>
    <w:lvl w:ilvl="1">
      <w:start w:val="3"/>
      <w:numFmt w:val="decimal"/>
      <w:isLgl/>
      <w:lvlText w:val="%1.%2."/>
      <w:lvlJc w:val="left"/>
      <w:pPr>
        <w:ind w:left="504" w:hanging="504"/>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 w15:restartNumberingAfterBreak="0">
    <w:nsid w:val="05F713A2"/>
    <w:multiLevelType w:val="hybridMultilevel"/>
    <w:tmpl w:val="CA7ED2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B81954"/>
    <w:multiLevelType w:val="hybridMultilevel"/>
    <w:tmpl w:val="A936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73AA2"/>
    <w:multiLevelType w:val="hybridMultilevel"/>
    <w:tmpl w:val="1D3E4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B90824"/>
    <w:multiLevelType w:val="hybridMultilevel"/>
    <w:tmpl w:val="4A0634A0"/>
    <w:lvl w:ilvl="0" w:tplc="5DB8DBA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7700DD"/>
    <w:multiLevelType w:val="hybridMultilevel"/>
    <w:tmpl w:val="74BA7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443BEA"/>
    <w:multiLevelType w:val="hybridMultilevel"/>
    <w:tmpl w:val="7E54D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676053"/>
    <w:multiLevelType w:val="hybridMultilevel"/>
    <w:tmpl w:val="33D86878"/>
    <w:lvl w:ilvl="0" w:tplc="3DBCDB9A">
      <w:start w:val="1"/>
      <w:numFmt w:val="low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9" w15:restartNumberingAfterBreak="0">
    <w:nsid w:val="237A4133"/>
    <w:multiLevelType w:val="hybridMultilevel"/>
    <w:tmpl w:val="8B940D4E"/>
    <w:lvl w:ilvl="0" w:tplc="04100005">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10" w15:restartNumberingAfterBreak="0">
    <w:nsid w:val="24784452"/>
    <w:multiLevelType w:val="hybridMultilevel"/>
    <w:tmpl w:val="92A8DF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DD3809"/>
    <w:multiLevelType w:val="hybridMultilevel"/>
    <w:tmpl w:val="CA2C80AA"/>
    <w:lvl w:ilvl="0" w:tplc="483C8700">
      <w:start w:val="1"/>
      <w:numFmt w:val="lowerLetter"/>
      <w:lvlText w:val="%1)"/>
      <w:lvlJc w:val="left"/>
      <w:pPr>
        <w:ind w:left="720" w:hanging="360"/>
      </w:pPr>
      <w:rPr>
        <w:rFont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3798737D"/>
    <w:multiLevelType w:val="hybridMultilevel"/>
    <w:tmpl w:val="C436E6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FC005A"/>
    <w:multiLevelType w:val="hybridMultilevel"/>
    <w:tmpl w:val="A8487D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1000E6"/>
    <w:multiLevelType w:val="hybridMultilevel"/>
    <w:tmpl w:val="6F467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261772"/>
    <w:multiLevelType w:val="hybridMultilevel"/>
    <w:tmpl w:val="E51603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CA10EE"/>
    <w:multiLevelType w:val="hybridMultilevel"/>
    <w:tmpl w:val="4B743A6C"/>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6C68C4"/>
    <w:multiLevelType w:val="hybridMultilevel"/>
    <w:tmpl w:val="0E5E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72EBA"/>
    <w:multiLevelType w:val="hybridMultilevel"/>
    <w:tmpl w:val="13D67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56B1F05"/>
    <w:multiLevelType w:val="multilevel"/>
    <w:tmpl w:val="561CC912"/>
    <w:styleLink w:val="Elencocorren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A442D4"/>
    <w:multiLevelType w:val="hybridMultilevel"/>
    <w:tmpl w:val="206406BE"/>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21" w15:restartNumberingAfterBreak="0">
    <w:nsid w:val="5776073D"/>
    <w:multiLevelType w:val="hybridMultilevel"/>
    <w:tmpl w:val="BDE466C2"/>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22" w15:restartNumberingAfterBreak="0">
    <w:nsid w:val="5A792FD3"/>
    <w:multiLevelType w:val="multilevel"/>
    <w:tmpl w:val="E77E6506"/>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F05E9A"/>
    <w:multiLevelType w:val="hybridMultilevel"/>
    <w:tmpl w:val="2D161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A87120"/>
    <w:multiLevelType w:val="hybridMultilevel"/>
    <w:tmpl w:val="6B087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45164E"/>
    <w:multiLevelType w:val="hybridMultilevel"/>
    <w:tmpl w:val="1A70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10D7C"/>
    <w:multiLevelType w:val="hybridMultilevel"/>
    <w:tmpl w:val="5B86A2B8"/>
    <w:lvl w:ilvl="0" w:tplc="BC1E3AB4">
      <w:start w:val="14"/>
      <w:numFmt w:val="bullet"/>
      <w:lvlText w:val="-"/>
      <w:lvlJc w:val="left"/>
      <w:pPr>
        <w:ind w:left="720" w:hanging="360"/>
      </w:pPr>
      <w:rPr>
        <w:rFonts w:ascii="Book Antiqua" w:eastAsiaTheme="minorHAnsi" w:hAnsi="Book Antiqua" w:cs="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1D58C4"/>
    <w:multiLevelType w:val="hybridMultilevel"/>
    <w:tmpl w:val="56B48F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636745A"/>
    <w:multiLevelType w:val="hybridMultilevel"/>
    <w:tmpl w:val="EA72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D7AF7"/>
    <w:multiLevelType w:val="hybridMultilevel"/>
    <w:tmpl w:val="69A67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8E5ABA"/>
    <w:multiLevelType w:val="hybridMultilevel"/>
    <w:tmpl w:val="CED8D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47792F"/>
    <w:multiLevelType w:val="hybridMultilevel"/>
    <w:tmpl w:val="B0985F1C"/>
    <w:lvl w:ilvl="0" w:tplc="22429AC0">
      <w:start w:val="1"/>
      <w:numFmt w:val="bullet"/>
      <w:lvlText w:val="•"/>
      <w:lvlJc w:val="left"/>
      <w:pPr>
        <w:tabs>
          <w:tab w:val="num" w:pos="720"/>
        </w:tabs>
        <w:ind w:left="720" w:hanging="360"/>
      </w:pPr>
      <w:rPr>
        <w:rFonts w:ascii="Arial" w:hAnsi="Arial" w:hint="default"/>
      </w:rPr>
    </w:lvl>
    <w:lvl w:ilvl="1" w:tplc="3F621D3C" w:tentative="1">
      <w:start w:val="1"/>
      <w:numFmt w:val="bullet"/>
      <w:lvlText w:val="•"/>
      <w:lvlJc w:val="left"/>
      <w:pPr>
        <w:tabs>
          <w:tab w:val="num" w:pos="1440"/>
        </w:tabs>
        <w:ind w:left="1440" w:hanging="360"/>
      </w:pPr>
      <w:rPr>
        <w:rFonts w:ascii="Arial" w:hAnsi="Arial" w:hint="default"/>
      </w:rPr>
    </w:lvl>
    <w:lvl w:ilvl="2" w:tplc="FE082BEC" w:tentative="1">
      <w:start w:val="1"/>
      <w:numFmt w:val="bullet"/>
      <w:lvlText w:val="•"/>
      <w:lvlJc w:val="left"/>
      <w:pPr>
        <w:tabs>
          <w:tab w:val="num" w:pos="2160"/>
        </w:tabs>
        <w:ind w:left="2160" w:hanging="360"/>
      </w:pPr>
      <w:rPr>
        <w:rFonts w:ascii="Arial" w:hAnsi="Arial" w:hint="default"/>
      </w:rPr>
    </w:lvl>
    <w:lvl w:ilvl="3" w:tplc="5D66A57A" w:tentative="1">
      <w:start w:val="1"/>
      <w:numFmt w:val="bullet"/>
      <w:lvlText w:val="•"/>
      <w:lvlJc w:val="left"/>
      <w:pPr>
        <w:tabs>
          <w:tab w:val="num" w:pos="2880"/>
        </w:tabs>
        <w:ind w:left="2880" w:hanging="360"/>
      </w:pPr>
      <w:rPr>
        <w:rFonts w:ascii="Arial" w:hAnsi="Arial" w:hint="default"/>
      </w:rPr>
    </w:lvl>
    <w:lvl w:ilvl="4" w:tplc="D2767B5C" w:tentative="1">
      <w:start w:val="1"/>
      <w:numFmt w:val="bullet"/>
      <w:lvlText w:val="•"/>
      <w:lvlJc w:val="left"/>
      <w:pPr>
        <w:tabs>
          <w:tab w:val="num" w:pos="3600"/>
        </w:tabs>
        <w:ind w:left="3600" w:hanging="360"/>
      </w:pPr>
      <w:rPr>
        <w:rFonts w:ascii="Arial" w:hAnsi="Arial" w:hint="default"/>
      </w:rPr>
    </w:lvl>
    <w:lvl w:ilvl="5" w:tplc="0AB8750A" w:tentative="1">
      <w:start w:val="1"/>
      <w:numFmt w:val="bullet"/>
      <w:lvlText w:val="•"/>
      <w:lvlJc w:val="left"/>
      <w:pPr>
        <w:tabs>
          <w:tab w:val="num" w:pos="4320"/>
        </w:tabs>
        <w:ind w:left="4320" w:hanging="360"/>
      </w:pPr>
      <w:rPr>
        <w:rFonts w:ascii="Arial" w:hAnsi="Arial" w:hint="default"/>
      </w:rPr>
    </w:lvl>
    <w:lvl w:ilvl="6" w:tplc="A3489BC2" w:tentative="1">
      <w:start w:val="1"/>
      <w:numFmt w:val="bullet"/>
      <w:lvlText w:val="•"/>
      <w:lvlJc w:val="left"/>
      <w:pPr>
        <w:tabs>
          <w:tab w:val="num" w:pos="5040"/>
        </w:tabs>
        <w:ind w:left="5040" w:hanging="360"/>
      </w:pPr>
      <w:rPr>
        <w:rFonts w:ascii="Arial" w:hAnsi="Arial" w:hint="default"/>
      </w:rPr>
    </w:lvl>
    <w:lvl w:ilvl="7" w:tplc="C76040B6" w:tentative="1">
      <w:start w:val="1"/>
      <w:numFmt w:val="bullet"/>
      <w:lvlText w:val="•"/>
      <w:lvlJc w:val="left"/>
      <w:pPr>
        <w:tabs>
          <w:tab w:val="num" w:pos="5760"/>
        </w:tabs>
        <w:ind w:left="5760" w:hanging="360"/>
      </w:pPr>
      <w:rPr>
        <w:rFonts w:ascii="Arial" w:hAnsi="Arial" w:hint="default"/>
      </w:rPr>
    </w:lvl>
    <w:lvl w:ilvl="8" w:tplc="004CA49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2DB11DF"/>
    <w:multiLevelType w:val="hybridMultilevel"/>
    <w:tmpl w:val="29A4F93C"/>
    <w:lvl w:ilvl="0" w:tplc="57E8CA0C">
      <w:start w:val="2"/>
      <w:numFmt w:val="bullet"/>
      <w:lvlText w:val="-"/>
      <w:lvlJc w:val="left"/>
      <w:pPr>
        <w:ind w:left="720" w:hanging="360"/>
      </w:pPr>
      <w:rPr>
        <w:rFonts w:ascii="Calibri" w:eastAsiaTheme="minorHAnsi" w:hAnsi="Calibri" w:cs="Calibr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75AA5D1A"/>
    <w:multiLevelType w:val="hybridMultilevel"/>
    <w:tmpl w:val="CC546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88438CF"/>
    <w:multiLevelType w:val="hybridMultilevel"/>
    <w:tmpl w:val="597A2DDE"/>
    <w:lvl w:ilvl="0" w:tplc="0410000B">
      <w:start w:val="1"/>
      <w:numFmt w:val="bullet"/>
      <w:lvlText w:val=""/>
      <w:lvlJc w:val="left"/>
      <w:pPr>
        <w:ind w:left="810" w:hanging="360"/>
      </w:pPr>
      <w:rPr>
        <w:rFonts w:ascii="Wingdings" w:hAnsi="Wingdings"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35" w15:restartNumberingAfterBreak="0">
    <w:nsid w:val="7C466237"/>
    <w:multiLevelType w:val="hybridMultilevel"/>
    <w:tmpl w:val="3EEA05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F6935B8"/>
    <w:multiLevelType w:val="hybridMultilevel"/>
    <w:tmpl w:val="3CB8E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FE12FDF"/>
    <w:multiLevelType w:val="hybridMultilevel"/>
    <w:tmpl w:val="FA4CE1D4"/>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897282076">
    <w:abstractNumId w:val="19"/>
  </w:num>
  <w:num w:numId="2" w16cid:durableId="1302151230">
    <w:abstractNumId w:val="22"/>
  </w:num>
  <w:num w:numId="3" w16cid:durableId="1059481697">
    <w:abstractNumId w:val="6"/>
  </w:num>
  <w:num w:numId="4" w16cid:durableId="303854143">
    <w:abstractNumId w:val="21"/>
  </w:num>
  <w:num w:numId="5" w16cid:durableId="1446270492">
    <w:abstractNumId w:val="5"/>
  </w:num>
  <w:num w:numId="6" w16cid:durableId="136166017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37680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7555125">
    <w:abstractNumId w:val="22"/>
  </w:num>
  <w:num w:numId="9" w16cid:durableId="961032132">
    <w:abstractNumId w:val="22"/>
  </w:num>
  <w:num w:numId="10" w16cid:durableId="609044111">
    <w:abstractNumId w:val="22"/>
  </w:num>
  <w:num w:numId="11" w16cid:durableId="1526599444">
    <w:abstractNumId w:val="22"/>
  </w:num>
  <w:num w:numId="12" w16cid:durableId="1842431505">
    <w:abstractNumId w:val="22"/>
  </w:num>
  <w:num w:numId="13" w16cid:durableId="1726373615">
    <w:abstractNumId w:val="22"/>
  </w:num>
  <w:num w:numId="14" w16cid:durableId="1061055822">
    <w:abstractNumId w:val="22"/>
  </w:num>
  <w:num w:numId="15" w16cid:durableId="1343706755">
    <w:abstractNumId w:val="22"/>
    <w:lvlOverride w:ilvl="0">
      <w:startOverride w:val="1"/>
    </w:lvlOverride>
  </w:num>
  <w:num w:numId="16" w16cid:durableId="1287547342">
    <w:abstractNumId w:val="32"/>
  </w:num>
  <w:num w:numId="17" w16cid:durableId="174854079">
    <w:abstractNumId w:val="16"/>
  </w:num>
  <w:num w:numId="18" w16cid:durableId="1123353355">
    <w:abstractNumId w:val="36"/>
  </w:num>
  <w:num w:numId="19" w16cid:durableId="1668245931">
    <w:abstractNumId w:val="4"/>
  </w:num>
  <w:num w:numId="20" w16cid:durableId="1266504275">
    <w:abstractNumId w:val="9"/>
  </w:num>
  <w:num w:numId="21" w16cid:durableId="961882934">
    <w:abstractNumId w:val="13"/>
  </w:num>
  <w:num w:numId="22" w16cid:durableId="1942177666">
    <w:abstractNumId w:val="14"/>
  </w:num>
  <w:num w:numId="23" w16cid:durableId="2143843538">
    <w:abstractNumId w:val="37"/>
  </w:num>
  <w:num w:numId="24" w16cid:durableId="607003594">
    <w:abstractNumId w:val="24"/>
  </w:num>
  <w:num w:numId="25" w16cid:durableId="859049401">
    <w:abstractNumId w:val="23"/>
  </w:num>
  <w:num w:numId="26" w16cid:durableId="809514223">
    <w:abstractNumId w:val="27"/>
  </w:num>
  <w:num w:numId="27" w16cid:durableId="1940722226">
    <w:abstractNumId w:val="30"/>
  </w:num>
  <w:num w:numId="28" w16cid:durableId="727849844">
    <w:abstractNumId w:val="33"/>
  </w:num>
  <w:num w:numId="29" w16cid:durableId="1481651618">
    <w:abstractNumId w:val="29"/>
  </w:num>
  <w:num w:numId="30" w16cid:durableId="1171991756">
    <w:abstractNumId w:val="0"/>
  </w:num>
  <w:num w:numId="31" w16cid:durableId="307520640">
    <w:abstractNumId w:val="7"/>
  </w:num>
  <w:num w:numId="32" w16cid:durableId="277562540">
    <w:abstractNumId w:val="31"/>
  </w:num>
  <w:num w:numId="33" w16cid:durableId="1053577203">
    <w:abstractNumId w:val="28"/>
  </w:num>
  <w:num w:numId="34" w16cid:durableId="1430272190">
    <w:abstractNumId w:val="3"/>
  </w:num>
  <w:num w:numId="35" w16cid:durableId="9374208">
    <w:abstractNumId w:val="8"/>
  </w:num>
  <w:num w:numId="36" w16cid:durableId="1714965736">
    <w:abstractNumId w:val="20"/>
  </w:num>
  <w:num w:numId="37" w16cid:durableId="507719107">
    <w:abstractNumId w:val="18"/>
  </w:num>
  <w:num w:numId="38" w16cid:durableId="1294555809">
    <w:abstractNumId w:val="26"/>
  </w:num>
  <w:num w:numId="39" w16cid:durableId="1653018691">
    <w:abstractNumId w:val="17"/>
  </w:num>
  <w:num w:numId="40" w16cid:durableId="130488456">
    <w:abstractNumId w:val="25"/>
  </w:num>
  <w:num w:numId="41" w16cid:durableId="321158206">
    <w:abstractNumId w:val="34"/>
  </w:num>
  <w:num w:numId="42" w16cid:durableId="588084478">
    <w:abstractNumId w:val="11"/>
  </w:num>
  <w:num w:numId="43" w16cid:durableId="1965966046">
    <w:abstractNumId w:val="10"/>
  </w:num>
  <w:num w:numId="44" w16cid:durableId="93404809">
    <w:abstractNumId w:val="2"/>
  </w:num>
  <w:num w:numId="45" w16cid:durableId="1401901441">
    <w:abstractNumId w:val="35"/>
  </w:num>
  <w:num w:numId="46" w16cid:durableId="209804931">
    <w:abstractNumId w:val="15"/>
  </w:num>
  <w:num w:numId="47" w16cid:durableId="13502538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B6"/>
    <w:rsid w:val="000123A9"/>
    <w:rsid w:val="00016D66"/>
    <w:rsid w:val="000333BE"/>
    <w:rsid w:val="0003493F"/>
    <w:rsid w:val="00057E67"/>
    <w:rsid w:val="00067324"/>
    <w:rsid w:val="0007605A"/>
    <w:rsid w:val="00091F72"/>
    <w:rsid w:val="000E7E0C"/>
    <w:rsid w:val="000F086C"/>
    <w:rsid w:val="000F142A"/>
    <w:rsid w:val="00112A54"/>
    <w:rsid w:val="0011753B"/>
    <w:rsid w:val="00130ED4"/>
    <w:rsid w:val="00141985"/>
    <w:rsid w:val="00144E3E"/>
    <w:rsid w:val="00180D69"/>
    <w:rsid w:val="00184760"/>
    <w:rsid w:val="001F5CAC"/>
    <w:rsid w:val="002025FC"/>
    <w:rsid w:val="002050D7"/>
    <w:rsid w:val="00205A0B"/>
    <w:rsid w:val="002507E0"/>
    <w:rsid w:val="00277696"/>
    <w:rsid w:val="002803F7"/>
    <w:rsid w:val="00281EF7"/>
    <w:rsid w:val="00284F58"/>
    <w:rsid w:val="002A4ED2"/>
    <w:rsid w:val="002D58DE"/>
    <w:rsid w:val="002E4688"/>
    <w:rsid w:val="002F3B15"/>
    <w:rsid w:val="002F4089"/>
    <w:rsid w:val="002F556C"/>
    <w:rsid w:val="002F712E"/>
    <w:rsid w:val="00302409"/>
    <w:rsid w:val="0030357B"/>
    <w:rsid w:val="00312F8F"/>
    <w:rsid w:val="00326BD6"/>
    <w:rsid w:val="00337256"/>
    <w:rsid w:val="003448F7"/>
    <w:rsid w:val="00346D28"/>
    <w:rsid w:val="00347D92"/>
    <w:rsid w:val="003500C2"/>
    <w:rsid w:val="00354BE3"/>
    <w:rsid w:val="00364775"/>
    <w:rsid w:val="0036703D"/>
    <w:rsid w:val="00396869"/>
    <w:rsid w:val="00396950"/>
    <w:rsid w:val="003A475B"/>
    <w:rsid w:val="003C775D"/>
    <w:rsid w:val="003D0D20"/>
    <w:rsid w:val="003E69AF"/>
    <w:rsid w:val="003F28E9"/>
    <w:rsid w:val="003F2BB5"/>
    <w:rsid w:val="003F5429"/>
    <w:rsid w:val="003F656A"/>
    <w:rsid w:val="00411C7D"/>
    <w:rsid w:val="00417480"/>
    <w:rsid w:val="004218F1"/>
    <w:rsid w:val="0042220A"/>
    <w:rsid w:val="00435447"/>
    <w:rsid w:val="0045691F"/>
    <w:rsid w:val="0046012B"/>
    <w:rsid w:val="0047313F"/>
    <w:rsid w:val="00492A9B"/>
    <w:rsid w:val="00492BD1"/>
    <w:rsid w:val="00495484"/>
    <w:rsid w:val="004B241B"/>
    <w:rsid w:val="004C5239"/>
    <w:rsid w:val="004E270E"/>
    <w:rsid w:val="004F63CF"/>
    <w:rsid w:val="0050356C"/>
    <w:rsid w:val="00507D45"/>
    <w:rsid w:val="00511B92"/>
    <w:rsid w:val="00511D4D"/>
    <w:rsid w:val="00531BA6"/>
    <w:rsid w:val="005347DC"/>
    <w:rsid w:val="00542F48"/>
    <w:rsid w:val="00544D9B"/>
    <w:rsid w:val="005601B4"/>
    <w:rsid w:val="00562550"/>
    <w:rsid w:val="00562F69"/>
    <w:rsid w:val="005751E9"/>
    <w:rsid w:val="00597195"/>
    <w:rsid w:val="005D5E36"/>
    <w:rsid w:val="005E57D2"/>
    <w:rsid w:val="00614204"/>
    <w:rsid w:val="006146D8"/>
    <w:rsid w:val="0062092D"/>
    <w:rsid w:val="00642459"/>
    <w:rsid w:val="006903EE"/>
    <w:rsid w:val="006A2472"/>
    <w:rsid w:val="006D3823"/>
    <w:rsid w:val="006F2E00"/>
    <w:rsid w:val="00701CA4"/>
    <w:rsid w:val="0074045B"/>
    <w:rsid w:val="00745529"/>
    <w:rsid w:val="00775C30"/>
    <w:rsid w:val="0077721B"/>
    <w:rsid w:val="007B73B6"/>
    <w:rsid w:val="007C7D94"/>
    <w:rsid w:val="007F0FC6"/>
    <w:rsid w:val="00803C96"/>
    <w:rsid w:val="008322DC"/>
    <w:rsid w:val="00832D7E"/>
    <w:rsid w:val="0085264D"/>
    <w:rsid w:val="008532B5"/>
    <w:rsid w:val="00856A66"/>
    <w:rsid w:val="008578F5"/>
    <w:rsid w:val="00860593"/>
    <w:rsid w:val="00864DBE"/>
    <w:rsid w:val="00867B04"/>
    <w:rsid w:val="00875C18"/>
    <w:rsid w:val="00886830"/>
    <w:rsid w:val="008A2664"/>
    <w:rsid w:val="008A2E4B"/>
    <w:rsid w:val="008B604E"/>
    <w:rsid w:val="008C6A4D"/>
    <w:rsid w:val="008D54E5"/>
    <w:rsid w:val="008D5BD6"/>
    <w:rsid w:val="008F5F15"/>
    <w:rsid w:val="00917E35"/>
    <w:rsid w:val="00944B2E"/>
    <w:rsid w:val="009731D1"/>
    <w:rsid w:val="00986212"/>
    <w:rsid w:val="00992BE0"/>
    <w:rsid w:val="009B3FDC"/>
    <w:rsid w:val="009D4EA8"/>
    <w:rsid w:val="009E4F49"/>
    <w:rsid w:val="00A44FFB"/>
    <w:rsid w:val="00A568D7"/>
    <w:rsid w:val="00A84B00"/>
    <w:rsid w:val="00AA7328"/>
    <w:rsid w:val="00AB2A26"/>
    <w:rsid w:val="00AB4558"/>
    <w:rsid w:val="00AB5522"/>
    <w:rsid w:val="00AC1A66"/>
    <w:rsid w:val="00AC6416"/>
    <w:rsid w:val="00AD3BE6"/>
    <w:rsid w:val="00AF78D2"/>
    <w:rsid w:val="00B21DF2"/>
    <w:rsid w:val="00B254CC"/>
    <w:rsid w:val="00B46CE3"/>
    <w:rsid w:val="00B63E9E"/>
    <w:rsid w:val="00B64B05"/>
    <w:rsid w:val="00B853FC"/>
    <w:rsid w:val="00B93958"/>
    <w:rsid w:val="00B940B4"/>
    <w:rsid w:val="00B95911"/>
    <w:rsid w:val="00B96B24"/>
    <w:rsid w:val="00B97E58"/>
    <w:rsid w:val="00BB0106"/>
    <w:rsid w:val="00BC749A"/>
    <w:rsid w:val="00BE4104"/>
    <w:rsid w:val="00BE587A"/>
    <w:rsid w:val="00BF700C"/>
    <w:rsid w:val="00C31807"/>
    <w:rsid w:val="00C41127"/>
    <w:rsid w:val="00C466DF"/>
    <w:rsid w:val="00C623FE"/>
    <w:rsid w:val="00C65E80"/>
    <w:rsid w:val="00C816DC"/>
    <w:rsid w:val="00C94FEE"/>
    <w:rsid w:val="00CC1C60"/>
    <w:rsid w:val="00CC2680"/>
    <w:rsid w:val="00CC68BF"/>
    <w:rsid w:val="00CE2490"/>
    <w:rsid w:val="00CF20D8"/>
    <w:rsid w:val="00D02BFF"/>
    <w:rsid w:val="00D11DF1"/>
    <w:rsid w:val="00D35E32"/>
    <w:rsid w:val="00D4180A"/>
    <w:rsid w:val="00D46A46"/>
    <w:rsid w:val="00D47E57"/>
    <w:rsid w:val="00D60A93"/>
    <w:rsid w:val="00D95A30"/>
    <w:rsid w:val="00DA24B6"/>
    <w:rsid w:val="00E00C42"/>
    <w:rsid w:val="00E11276"/>
    <w:rsid w:val="00E3506C"/>
    <w:rsid w:val="00E50C5F"/>
    <w:rsid w:val="00E72DF2"/>
    <w:rsid w:val="00E7792A"/>
    <w:rsid w:val="00E83712"/>
    <w:rsid w:val="00EA194B"/>
    <w:rsid w:val="00EA572C"/>
    <w:rsid w:val="00EB1460"/>
    <w:rsid w:val="00ED596C"/>
    <w:rsid w:val="00EE3C78"/>
    <w:rsid w:val="00EF1A02"/>
    <w:rsid w:val="00F07201"/>
    <w:rsid w:val="00F10A2D"/>
    <w:rsid w:val="00F23D08"/>
    <w:rsid w:val="00F26C37"/>
    <w:rsid w:val="00F31605"/>
    <w:rsid w:val="00F467B7"/>
    <w:rsid w:val="00F7090C"/>
    <w:rsid w:val="00F728D2"/>
    <w:rsid w:val="00F8628F"/>
    <w:rsid w:val="00F876B1"/>
    <w:rsid w:val="00FA403B"/>
    <w:rsid w:val="00FD0F4D"/>
    <w:rsid w:val="00FD4A81"/>
    <w:rsid w:val="00FE25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52BA6"/>
  <w15:docId w15:val="{70DC12C0-29A7-44D6-9E60-F46FB235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7324"/>
    <w:pPr>
      <w:spacing w:line="312" w:lineRule="auto"/>
      <w:jc w:val="both"/>
    </w:pPr>
    <w:rPr>
      <w:color w:val="404040" w:themeColor="text1" w:themeTint="BF"/>
      <w:sz w:val="22"/>
    </w:rPr>
  </w:style>
  <w:style w:type="paragraph" w:styleId="Titolo1">
    <w:name w:val="heading 1"/>
    <w:basedOn w:val="Normale"/>
    <w:next w:val="Normale"/>
    <w:link w:val="Titolo1Carattere"/>
    <w:uiPriority w:val="9"/>
    <w:qFormat/>
    <w:rsid w:val="00F8628F"/>
    <w:pPr>
      <w:keepNext/>
      <w:keepLines/>
      <w:numPr>
        <w:numId w:val="2"/>
      </w:numPr>
      <w:spacing w:before="480" w:after="240" w:line="264" w:lineRule="auto"/>
      <w:ind w:left="357" w:hanging="357"/>
      <w:outlineLvl w:val="0"/>
    </w:pPr>
    <w:rPr>
      <w:rFonts w:ascii="Calibri" w:eastAsiaTheme="majorEastAsia" w:hAnsi="Calibri" w:cs="Times New Roman (Titoli CS)"/>
      <w:b/>
      <w:color w:val="C00000"/>
      <w:sz w:val="28"/>
      <w:szCs w:val="40"/>
    </w:rPr>
  </w:style>
  <w:style w:type="paragraph" w:styleId="Titolo2">
    <w:name w:val="heading 2"/>
    <w:basedOn w:val="Normale"/>
    <w:next w:val="Normale"/>
    <w:link w:val="Titolo2Carattere"/>
    <w:uiPriority w:val="9"/>
    <w:unhideWhenUsed/>
    <w:qFormat/>
    <w:rsid w:val="00067324"/>
    <w:pPr>
      <w:keepNext/>
      <w:keepLines/>
      <w:numPr>
        <w:ilvl w:val="1"/>
        <w:numId w:val="2"/>
      </w:numPr>
      <w:spacing w:before="480" w:after="240" w:line="266" w:lineRule="auto"/>
      <w:outlineLvl w:val="1"/>
    </w:pPr>
    <w:rPr>
      <w:rFonts w:ascii="Calibri" w:eastAsiaTheme="majorEastAsia" w:hAnsi="Calibri" w:cstheme="majorBidi"/>
      <w:b/>
      <w:color w:val="44546A" w:themeColor="text2"/>
      <w:sz w:val="24"/>
      <w:szCs w:val="28"/>
    </w:rPr>
  </w:style>
  <w:style w:type="paragraph" w:styleId="Titolo3">
    <w:name w:val="heading 3"/>
    <w:basedOn w:val="Normale"/>
    <w:next w:val="Normale"/>
    <w:link w:val="Titolo3Carattere"/>
    <w:uiPriority w:val="9"/>
    <w:unhideWhenUsed/>
    <w:qFormat/>
    <w:rsid w:val="00067324"/>
    <w:pPr>
      <w:keepNext/>
      <w:keepLines/>
      <w:numPr>
        <w:ilvl w:val="2"/>
        <w:numId w:val="2"/>
      </w:numPr>
      <w:spacing w:before="480" w:after="240"/>
      <w:ind w:left="851" w:hanging="851"/>
      <w:outlineLvl w:val="2"/>
    </w:pPr>
    <w:rPr>
      <w:rFonts w:ascii="Calibri" w:eastAsiaTheme="majorEastAsia" w:hAnsi="Calibri" w:cstheme="majorBidi"/>
      <w:b/>
      <w:color w:val="44546A" w:themeColor="text2"/>
      <w:szCs w:val="24"/>
    </w:rPr>
  </w:style>
  <w:style w:type="paragraph" w:styleId="Titolo4">
    <w:name w:val="heading 4"/>
    <w:basedOn w:val="Normale"/>
    <w:next w:val="Normale"/>
    <w:link w:val="Titolo4Carattere"/>
    <w:uiPriority w:val="9"/>
    <w:unhideWhenUsed/>
    <w:qFormat/>
    <w:rsid w:val="00F8628F"/>
    <w:pPr>
      <w:keepNext/>
      <w:keepLines/>
      <w:pBdr>
        <w:top w:val="single" w:sz="36" w:space="12" w:color="C00000"/>
      </w:pBdr>
      <w:spacing w:before="600" w:after="240" w:line="276" w:lineRule="auto"/>
      <w:outlineLvl w:val="3"/>
    </w:pPr>
    <w:rPr>
      <w:rFonts w:ascii="Calibri" w:eastAsiaTheme="majorEastAsia" w:hAnsi="Calibri" w:cstheme="majorBidi"/>
      <w:b/>
      <w:caps/>
      <w:color w:val="C00000"/>
      <w:sz w:val="32"/>
      <w:szCs w:val="22"/>
    </w:rPr>
  </w:style>
  <w:style w:type="paragraph" w:styleId="Titolo5">
    <w:name w:val="heading 5"/>
    <w:basedOn w:val="Normale"/>
    <w:next w:val="Normale"/>
    <w:link w:val="Titolo5Carattere"/>
    <w:uiPriority w:val="9"/>
    <w:semiHidden/>
    <w:unhideWhenUsed/>
    <w:qFormat/>
    <w:rsid w:val="00281EF7"/>
    <w:pPr>
      <w:keepNext/>
      <w:keepLines/>
      <w:spacing w:before="40" w:after="0"/>
      <w:outlineLvl w:val="4"/>
    </w:pPr>
    <w:rPr>
      <w:rFonts w:asciiTheme="majorHAnsi" w:eastAsiaTheme="majorEastAsia" w:hAnsiTheme="majorHAnsi" w:cstheme="majorBidi"/>
      <w:i/>
      <w:iCs/>
      <w:color w:val="70AD47" w:themeColor="accent6"/>
      <w:szCs w:val="22"/>
    </w:rPr>
  </w:style>
  <w:style w:type="paragraph" w:styleId="Titolo6">
    <w:name w:val="heading 6"/>
    <w:basedOn w:val="Normale"/>
    <w:next w:val="Normale"/>
    <w:link w:val="Titolo6Carattere"/>
    <w:uiPriority w:val="9"/>
    <w:semiHidden/>
    <w:unhideWhenUsed/>
    <w:qFormat/>
    <w:rsid w:val="00281EF7"/>
    <w:pPr>
      <w:keepNext/>
      <w:keepLines/>
      <w:spacing w:before="40" w:after="0"/>
      <w:outlineLvl w:val="5"/>
    </w:pPr>
    <w:rPr>
      <w:rFonts w:asciiTheme="majorHAnsi" w:eastAsiaTheme="majorEastAsia" w:hAnsiTheme="majorHAnsi" w:cstheme="majorBidi"/>
      <w:color w:val="70AD47" w:themeColor="accent6"/>
    </w:rPr>
  </w:style>
  <w:style w:type="paragraph" w:styleId="Titolo7">
    <w:name w:val="heading 7"/>
    <w:basedOn w:val="Normale"/>
    <w:next w:val="Normale"/>
    <w:link w:val="Titolo7Carattere"/>
    <w:uiPriority w:val="9"/>
    <w:semiHidden/>
    <w:unhideWhenUsed/>
    <w:qFormat/>
    <w:rsid w:val="00281EF7"/>
    <w:pPr>
      <w:keepNext/>
      <w:keepLines/>
      <w:spacing w:before="40" w:after="0"/>
      <w:outlineLvl w:val="6"/>
    </w:pPr>
    <w:rPr>
      <w:rFonts w:asciiTheme="majorHAnsi" w:eastAsiaTheme="majorEastAsia" w:hAnsiTheme="majorHAnsi" w:cstheme="majorBidi"/>
      <w:b/>
      <w:bCs/>
      <w:color w:val="70AD47" w:themeColor="accent6"/>
    </w:rPr>
  </w:style>
  <w:style w:type="paragraph" w:styleId="Titolo8">
    <w:name w:val="heading 8"/>
    <w:basedOn w:val="Normale"/>
    <w:next w:val="Normale"/>
    <w:link w:val="Titolo8Carattere"/>
    <w:uiPriority w:val="9"/>
    <w:semiHidden/>
    <w:unhideWhenUsed/>
    <w:qFormat/>
    <w:rsid w:val="00281EF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olo9">
    <w:name w:val="heading 9"/>
    <w:basedOn w:val="Normale"/>
    <w:next w:val="Normale"/>
    <w:link w:val="Titolo9Carattere"/>
    <w:uiPriority w:val="9"/>
    <w:semiHidden/>
    <w:unhideWhenUsed/>
    <w:qFormat/>
    <w:rsid w:val="00281EF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E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1EF7"/>
  </w:style>
  <w:style w:type="paragraph" w:styleId="Pidipagina">
    <w:name w:val="footer"/>
    <w:basedOn w:val="Normale"/>
    <w:link w:val="PidipaginaCarattere"/>
    <w:uiPriority w:val="99"/>
    <w:unhideWhenUsed/>
    <w:rsid w:val="00281E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1EF7"/>
  </w:style>
  <w:style w:type="paragraph" w:customStyle="1" w:styleId="Default">
    <w:name w:val="Default"/>
    <w:rsid w:val="00281EF7"/>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uiPriority w:val="9"/>
    <w:rsid w:val="00F8628F"/>
    <w:rPr>
      <w:rFonts w:ascii="Calibri" w:eastAsiaTheme="majorEastAsia" w:hAnsi="Calibri" w:cs="Times New Roman (Titoli CS)"/>
      <w:b/>
      <w:color w:val="C00000"/>
      <w:sz w:val="28"/>
      <w:szCs w:val="40"/>
    </w:rPr>
  </w:style>
  <w:style w:type="character" w:customStyle="1" w:styleId="Titolo2Carattere">
    <w:name w:val="Titolo 2 Carattere"/>
    <w:basedOn w:val="Carpredefinitoparagrafo"/>
    <w:link w:val="Titolo2"/>
    <w:uiPriority w:val="9"/>
    <w:rsid w:val="00067324"/>
    <w:rPr>
      <w:rFonts w:ascii="Calibri" w:eastAsiaTheme="majorEastAsia" w:hAnsi="Calibri" w:cstheme="majorBidi"/>
      <w:b/>
      <w:color w:val="44546A" w:themeColor="text2"/>
      <w:sz w:val="24"/>
      <w:szCs w:val="28"/>
    </w:rPr>
  </w:style>
  <w:style w:type="character" w:customStyle="1" w:styleId="Titolo3Carattere">
    <w:name w:val="Titolo 3 Carattere"/>
    <w:basedOn w:val="Carpredefinitoparagrafo"/>
    <w:link w:val="Titolo3"/>
    <w:uiPriority w:val="9"/>
    <w:rsid w:val="00067324"/>
    <w:rPr>
      <w:rFonts w:ascii="Calibri" w:eastAsiaTheme="majorEastAsia" w:hAnsi="Calibri" w:cstheme="majorBidi"/>
      <w:b/>
      <w:color w:val="44546A" w:themeColor="text2"/>
      <w:sz w:val="22"/>
      <w:szCs w:val="24"/>
    </w:rPr>
  </w:style>
  <w:style w:type="character" w:customStyle="1" w:styleId="Titolo4Carattere">
    <w:name w:val="Titolo 4 Carattere"/>
    <w:basedOn w:val="Carpredefinitoparagrafo"/>
    <w:link w:val="Titolo4"/>
    <w:uiPriority w:val="9"/>
    <w:rsid w:val="00F8628F"/>
    <w:rPr>
      <w:rFonts w:ascii="Calibri" w:eastAsiaTheme="majorEastAsia" w:hAnsi="Calibri" w:cstheme="majorBidi"/>
      <w:b/>
      <w:caps/>
      <w:color w:val="C00000"/>
      <w:sz w:val="32"/>
      <w:szCs w:val="22"/>
    </w:rPr>
  </w:style>
  <w:style w:type="character" w:customStyle="1" w:styleId="Titolo5Carattere">
    <w:name w:val="Titolo 5 Carattere"/>
    <w:basedOn w:val="Carpredefinitoparagrafo"/>
    <w:link w:val="Titolo5"/>
    <w:uiPriority w:val="9"/>
    <w:semiHidden/>
    <w:rsid w:val="00281EF7"/>
    <w:rPr>
      <w:rFonts w:asciiTheme="majorHAnsi" w:eastAsiaTheme="majorEastAsia" w:hAnsiTheme="majorHAnsi" w:cstheme="majorBidi"/>
      <w:i/>
      <w:iCs/>
      <w:color w:val="70AD47" w:themeColor="accent6"/>
      <w:sz w:val="22"/>
      <w:szCs w:val="22"/>
    </w:rPr>
  </w:style>
  <w:style w:type="character" w:customStyle="1" w:styleId="Titolo6Carattere">
    <w:name w:val="Titolo 6 Carattere"/>
    <w:basedOn w:val="Carpredefinitoparagrafo"/>
    <w:link w:val="Titolo6"/>
    <w:uiPriority w:val="9"/>
    <w:semiHidden/>
    <w:rsid w:val="00281EF7"/>
    <w:rPr>
      <w:rFonts w:asciiTheme="majorHAnsi" w:eastAsiaTheme="majorEastAsia" w:hAnsiTheme="majorHAnsi" w:cstheme="majorBidi"/>
      <w:color w:val="70AD47" w:themeColor="accent6"/>
    </w:rPr>
  </w:style>
  <w:style w:type="character" w:customStyle="1" w:styleId="Titolo7Carattere">
    <w:name w:val="Titolo 7 Carattere"/>
    <w:basedOn w:val="Carpredefinitoparagrafo"/>
    <w:link w:val="Titolo7"/>
    <w:uiPriority w:val="9"/>
    <w:semiHidden/>
    <w:rsid w:val="00281EF7"/>
    <w:rPr>
      <w:rFonts w:asciiTheme="majorHAnsi" w:eastAsiaTheme="majorEastAsia" w:hAnsiTheme="majorHAnsi" w:cstheme="majorBidi"/>
      <w:b/>
      <w:bCs/>
      <w:color w:val="70AD47" w:themeColor="accent6"/>
    </w:rPr>
  </w:style>
  <w:style w:type="character" w:customStyle="1" w:styleId="Titolo8Carattere">
    <w:name w:val="Titolo 8 Carattere"/>
    <w:basedOn w:val="Carpredefinitoparagrafo"/>
    <w:link w:val="Titolo8"/>
    <w:uiPriority w:val="9"/>
    <w:semiHidden/>
    <w:rsid w:val="00281EF7"/>
    <w:rPr>
      <w:rFonts w:asciiTheme="majorHAnsi" w:eastAsiaTheme="majorEastAsia" w:hAnsiTheme="majorHAnsi" w:cstheme="majorBidi"/>
      <w:b/>
      <w:bCs/>
      <w:i/>
      <w:iCs/>
      <w:color w:val="70AD47" w:themeColor="accent6"/>
      <w:sz w:val="20"/>
      <w:szCs w:val="20"/>
    </w:rPr>
  </w:style>
  <w:style w:type="character" w:customStyle="1" w:styleId="Titolo9Carattere">
    <w:name w:val="Titolo 9 Carattere"/>
    <w:basedOn w:val="Carpredefinitoparagrafo"/>
    <w:link w:val="Titolo9"/>
    <w:uiPriority w:val="9"/>
    <w:semiHidden/>
    <w:rsid w:val="00281EF7"/>
    <w:rPr>
      <w:rFonts w:asciiTheme="majorHAnsi" w:eastAsiaTheme="majorEastAsia" w:hAnsiTheme="majorHAnsi" w:cstheme="majorBidi"/>
      <w:i/>
      <w:iCs/>
      <w:color w:val="70AD47" w:themeColor="accent6"/>
      <w:sz w:val="20"/>
      <w:szCs w:val="20"/>
    </w:rPr>
  </w:style>
  <w:style w:type="paragraph" w:styleId="Didascalia">
    <w:name w:val="caption"/>
    <w:basedOn w:val="Normale"/>
    <w:next w:val="Normale"/>
    <w:uiPriority w:val="35"/>
    <w:semiHidden/>
    <w:unhideWhenUsed/>
    <w:qFormat/>
    <w:rsid w:val="00281EF7"/>
    <w:pPr>
      <w:spacing w:line="240" w:lineRule="auto"/>
    </w:pPr>
    <w:rPr>
      <w:b/>
      <w:bCs/>
      <w:smallCaps/>
      <w:color w:val="595959" w:themeColor="text1" w:themeTint="A6"/>
    </w:rPr>
  </w:style>
  <w:style w:type="paragraph" w:styleId="Titolo">
    <w:name w:val="Title"/>
    <w:basedOn w:val="Normale"/>
    <w:next w:val="Normale"/>
    <w:link w:val="TitoloCarattere"/>
    <w:uiPriority w:val="10"/>
    <w:qFormat/>
    <w:rsid w:val="00281EF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oloCarattere">
    <w:name w:val="Titolo Carattere"/>
    <w:basedOn w:val="Carpredefinitoparagrafo"/>
    <w:link w:val="Titolo"/>
    <w:uiPriority w:val="10"/>
    <w:rsid w:val="00281EF7"/>
    <w:rPr>
      <w:rFonts w:asciiTheme="majorHAnsi" w:eastAsiaTheme="majorEastAsia" w:hAnsiTheme="majorHAnsi" w:cstheme="majorBidi"/>
      <w:color w:val="262626" w:themeColor="text1" w:themeTint="D9"/>
      <w:spacing w:val="-15"/>
      <w:sz w:val="96"/>
      <w:szCs w:val="96"/>
    </w:rPr>
  </w:style>
  <w:style w:type="paragraph" w:styleId="Sottotitolo">
    <w:name w:val="Subtitle"/>
    <w:basedOn w:val="Normale"/>
    <w:next w:val="Normale"/>
    <w:link w:val="SottotitoloCarattere"/>
    <w:uiPriority w:val="11"/>
    <w:qFormat/>
    <w:rsid w:val="00281EF7"/>
    <w:pPr>
      <w:numPr>
        <w:ilvl w:val="1"/>
      </w:numPr>
      <w:spacing w:line="240" w:lineRule="auto"/>
    </w:pPr>
    <w:rPr>
      <w:rFonts w:asciiTheme="majorHAnsi" w:eastAsiaTheme="majorEastAsia" w:hAnsiTheme="majorHAnsi" w:cstheme="majorBidi"/>
      <w:sz w:val="30"/>
      <w:szCs w:val="30"/>
    </w:rPr>
  </w:style>
  <w:style w:type="character" w:customStyle="1" w:styleId="SottotitoloCarattere">
    <w:name w:val="Sottotitolo Carattere"/>
    <w:basedOn w:val="Carpredefinitoparagrafo"/>
    <w:link w:val="Sottotitolo"/>
    <w:uiPriority w:val="11"/>
    <w:rsid w:val="00281EF7"/>
    <w:rPr>
      <w:rFonts w:asciiTheme="majorHAnsi" w:eastAsiaTheme="majorEastAsia" w:hAnsiTheme="majorHAnsi" w:cstheme="majorBidi"/>
      <w:sz w:val="30"/>
      <w:szCs w:val="30"/>
    </w:rPr>
  </w:style>
  <w:style w:type="character" w:styleId="Enfasigrassetto">
    <w:name w:val="Strong"/>
    <w:basedOn w:val="Carpredefinitoparagrafo"/>
    <w:uiPriority w:val="22"/>
    <w:qFormat/>
    <w:rsid w:val="00281EF7"/>
    <w:rPr>
      <w:b/>
      <w:bCs/>
    </w:rPr>
  </w:style>
  <w:style w:type="character" w:styleId="Enfasicorsivo">
    <w:name w:val="Emphasis"/>
    <w:basedOn w:val="Carpredefinitoparagrafo"/>
    <w:uiPriority w:val="20"/>
    <w:qFormat/>
    <w:rsid w:val="00281EF7"/>
    <w:rPr>
      <w:i/>
      <w:iCs/>
      <w:color w:val="70AD47" w:themeColor="accent6"/>
    </w:rPr>
  </w:style>
  <w:style w:type="paragraph" w:styleId="Nessunaspaziatura">
    <w:name w:val="No Spacing"/>
    <w:uiPriority w:val="1"/>
    <w:qFormat/>
    <w:rsid w:val="00281EF7"/>
    <w:pPr>
      <w:spacing w:after="0" w:line="240" w:lineRule="auto"/>
    </w:pPr>
  </w:style>
  <w:style w:type="paragraph" w:styleId="Citazione">
    <w:name w:val="Quote"/>
    <w:basedOn w:val="Normale"/>
    <w:next w:val="Normale"/>
    <w:link w:val="CitazioneCarattere"/>
    <w:uiPriority w:val="29"/>
    <w:qFormat/>
    <w:rsid w:val="00281EF7"/>
    <w:pPr>
      <w:spacing w:before="160"/>
      <w:ind w:left="720" w:right="720"/>
      <w:jc w:val="center"/>
    </w:pPr>
    <w:rPr>
      <w:i/>
      <w:iCs/>
      <w:color w:val="262626" w:themeColor="text1" w:themeTint="D9"/>
    </w:rPr>
  </w:style>
  <w:style w:type="character" w:customStyle="1" w:styleId="CitazioneCarattere">
    <w:name w:val="Citazione Carattere"/>
    <w:basedOn w:val="Carpredefinitoparagrafo"/>
    <w:link w:val="Citazione"/>
    <w:uiPriority w:val="29"/>
    <w:rsid w:val="00281EF7"/>
    <w:rPr>
      <w:i/>
      <w:iCs/>
      <w:color w:val="262626" w:themeColor="text1" w:themeTint="D9"/>
    </w:rPr>
  </w:style>
  <w:style w:type="paragraph" w:styleId="Citazioneintensa">
    <w:name w:val="Intense Quote"/>
    <w:basedOn w:val="Normale"/>
    <w:next w:val="Normale"/>
    <w:link w:val="CitazioneintensaCarattere"/>
    <w:uiPriority w:val="30"/>
    <w:qFormat/>
    <w:rsid w:val="00281EF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zioneintensaCarattere">
    <w:name w:val="Citazione intensa Carattere"/>
    <w:basedOn w:val="Carpredefinitoparagrafo"/>
    <w:link w:val="Citazioneintensa"/>
    <w:uiPriority w:val="30"/>
    <w:rsid w:val="00281EF7"/>
    <w:rPr>
      <w:rFonts w:asciiTheme="majorHAnsi" w:eastAsiaTheme="majorEastAsia" w:hAnsiTheme="majorHAnsi" w:cstheme="majorBidi"/>
      <w:i/>
      <w:iCs/>
      <w:color w:val="70AD47" w:themeColor="accent6"/>
      <w:sz w:val="32"/>
      <w:szCs w:val="32"/>
    </w:rPr>
  </w:style>
  <w:style w:type="character" w:styleId="Enfasidelicata">
    <w:name w:val="Subtle Emphasis"/>
    <w:basedOn w:val="Carpredefinitoparagrafo"/>
    <w:uiPriority w:val="19"/>
    <w:qFormat/>
    <w:rsid w:val="00281EF7"/>
    <w:rPr>
      <w:i/>
      <w:iCs/>
    </w:rPr>
  </w:style>
  <w:style w:type="character" w:styleId="Enfasiintensa">
    <w:name w:val="Intense Emphasis"/>
    <w:basedOn w:val="Carpredefinitoparagrafo"/>
    <w:uiPriority w:val="21"/>
    <w:qFormat/>
    <w:rsid w:val="00281EF7"/>
    <w:rPr>
      <w:b/>
      <w:bCs/>
      <w:i/>
      <w:iCs/>
    </w:rPr>
  </w:style>
  <w:style w:type="character" w:styleId="Riferimentodelicato">
    <w:name w:val="Subtle Reference"/>
    <w:basedOn w:val="Carpredefinitoparagrafo"/>
    <w:uiPriority w:val="31"/>
    <w:qFormat/>
    <w:rsid w:val="00281EF7"/>
    <w:rPr>
      <w:smallCaps/>
      <w:color w:val="595959" w:themeColor="text1" w:themeTint="A6"/>
    </w:rPr>
  </w:style>
  <w:style w:type="character" w:styleId="Riferimentointenso">
    <w:name w:val="Intense Reference"/>
    <w:basedOn w:val="Carpredefinitoparagrafo"/>
    <w:uiPriority w:val="32"/>
    <w:qFormat/>
    <w:rsid w:val="00281EF7"/>
    <w:rPr>
      <w:b/>
      <w:bCs/>
      <w:smallCaps/>
      <w:color w:val="70AD47" w:themeColor="accent6"/>
    </w:rPr>
  </w:style>
  <w:style w:type="character" w:styleId="Titolodellibro">
    <w:name w:val="Book Title"/>
    <w:basedOn w:val="Carpredefinitoparagrafo"/>
    <w:uiPriority w:val="33"/>
    <w:qFormat/>
    <w:rsid w:val="00281EF7"/>
    <w:rPr>
      <w:b/>
      <w:bCs/>
      <w:caps w:val="0"/>
      <w:smallCaps/>
      <w:spacing w:val="7"/>
      <w:sz w:val="21"/>
      <w:szCs w:val="21"/>
    </w:rPr>
  </w:style>
  <w:style w:type="paragraph" w:styleId="Titolosommario">
    <w:name w:val="TOC Heading"/>
    <w:basedOn w:val="Titolo1"/>
    <w:next w:val="Normale"/>
    <w:uiPriority w:val="39"/>
    <w:semiHidden/>
    <w:unhideWhenUsed/>
    <w:qFormat/>
    <w:rsid w:val="00281EF7"/>
    <w:pPr>
      <w:outlineLvl w:val="9"/>
    </w:pPr>
  </w:style>
  <w:style w:type="paragraph" w:styleId="Sommario1">
    <w:name w:val="toc 1"/>
    <w:basedOn w:val="Normale"/>
    <w:next w:val="Normale"/>
    <w:autoRedefine/>
    <w:uiPriority w:val="39"/>
    <w:unhideWhenUsed/>
    <w:rsid w:val="00F8628F"/>
    <w:pPr>
      <w:tabs>
        <w:tab w:val="left" w:pos="7938"/>
      </w:tabs>
      <w:spacing w:before="120" w:after="120" w:line="264" w:lineRule="auto"/>
      <w:ind w:left="284" w:hanging="284"/>
    </w:pPr>
    <w:rPr>
      <w:rFonts w:cs="Calibri (Corpo)"/>
      <w:bCs/>
      <w:noProof/>
      <w:szCs w:val="22"/>
    </w:rPr>
  </w:style>
  <w:style w:type="paragraph" w:styleId="Sommario2">
    <w:name w:val="toc 2"/>
    <w:basedOn w:val="Normale"/>
    <w:next w:val="Normale"/>
    <w:autoRedefine/>
    <w:uiPriority w:val="39"/>
    <w:unhideWhenUsed/>
    <w:rsid w:val="00F8628F"/>
    <w:pPr>
      <w:tabs>
        <w:tab w:val="left" w:pos="7938"/>
      </w:tabs>
      <w:spacing w:before="60" w:after="60" w:line="276" w:lineRule="auto"/>
      <w:ind w:left="709" w:right="1701" w:hanging="425"/>
    </w:pPr>
    <w:rPr>
      <w:rFonts w:cs="Calibri (Corpo)"/>
      <w:bCs/>
      <w:noProof/>
      <w:sz w:val="20"/>
      <w:szCs w:val="22"/>
    </w:rPr>
  </w:style>
  <w:style w:type="paragraph" w:styleId="Sommario3">
    <w:name w:val="toc 3"/>
    <w:basedOn w:val="Normale"/>
    <w:next w:val="Normale"/>
    <w:autoRedefine/>
    <w:uiPriority w:val="39"/>
    <w:unhideWhenUsed/>
    <w:rsid w:val="00492BD1"/>
    <w:pPr>
      <w:tabs>
        <w:tab w:val="right" w:pos="9070"/>
      </w:tabs>
      <w:spacing w:after="0"/>
      <w:ind w:left="709" w:right="565" w:hanging="709"/>
    </w:pPr>
    <w:rPr>
      <w:rFonts w:cs="Calibri (Corpo)"/>
      <w:b/>
      <w:caps/>
      <w:noProof/>
      <w:szCs w:val="22"/>
    </w:rPr>
  </w:style>
  <w:style w:type="character" w:styleId="Collegamentoipertestuale">
    <w:name w:val="Hyperlink"/>
    <w:basedOn w:val="Carpredefinitoparagrafo"/>
    <w:uiPriority w:val="99"/>
    <w:unhideWhenUsed/>
    <w:rsid w:val="00281EF7"/>
    <w:rPr>
      <w:color w:val="0563C1" w:themeColor="hyperlink"/>
      <w:u w:val="single"/>
    </w:rPr>
  </w:style>
  <w:style w:type="paragraph" w:styleId="Testonotaapidipagina">
    <w:name w:val="footnote text"/>
    <w:aliases w:val="Testo nota a piè di pagina Carattere1 Carattere,Testo nota a piè di pagina Carattere Carattere Carattere,Testo nota a piè di pagina Carattere1 Carattere Carattere Carattere,Carattere"/>
    <w:basedOn w:val="Normale"/>
    <w:link w:val="TestonotaapidipaginaCarattere"/>
    <w:uiPriority w:val="99"/>
    <w:unhideWhenUsed/>
    <w:qFormat/>
    <w:rsid w:val="008532B5"/>
    <w:pPr>
      <w:spacing w:after="0" w:line="240" w:lineRule="auto"/>
    </w:pPr>
    <w:rPr>
      <w:color w:val="595959" w:themeColor="text1" w:themeTint="A6"/>
      <w:sz w:val="20"/>
      <w:szCs w:val="20"/>
    </w:rPr>
  </w:style>
  <w:style w:type="character" w:customStyle="1" w:styleId="TestonotaapidipaginaCarattere">
    <w:name w:val="Testo nota a piè di pagina Carattere"/>
    <w:aliases w:val="Testo nota a piè di pagina Carattere1 Carattere Carattere,Testo nota a piè di pagina Carattere Carattere Carattere Carattere,Testo nota a piè di pagina Carattere1 Carattere Carattere Carattere Carattere"/>
    <w:basedOn w:val="Carpredefinitoparagrafo"/>
    <w:link w:val="Testonotaapidipagina"/>
    <w:uiPriority w:val="99"/>
    <w:rsid w:val="008532B5"/>
    <w:rPr>
      <w:color w:val="595959" w:themeColor="text1" w:themeTint="A6"/>
      <w:sz w:val="20"/>
      <w:szCs w:val="20"/>
    </w:rPr>
  </w:style>
  <w:style w:type="character" w:styleId="Rimandonotaapidipagina">
    <w:name w:val="footnote reference"/>
    <w:aliases w:val="Rimando nota a piè di pagina 2"/>
    <w:uiPriority w:val="99"/>
    <w:unhideWhenUsed/>
    <w:rsid w:val="009B3FDC"/>
    <w:rPr>
      <w:vertAlign w:val="superscript"/>
    </w:rPr>
  </w:style>
  <w:style w:type="paragraph" w:customStyle="1" w:styleId="TipoDocumento">
    <w:name w:val="Tipo Documento"/>
    <w:basedOn w:val="Normale"/>
    <w:qFormat/>
    <w:rsid w:val="00B96B24"/>
    <w:pPr>
      <w:spacing w:line="240" w:lineRule="auto"/>
    </w:pPr>
    <w:rPr>
      <w:rFonts w:cs="Times New Roman (Corpo CS)"/>
      <w:b/>
      <w:bCs/>
      <w:caps/>
      <w:color w:val="C00000"/>
      <w:spacing w:val="20"/>
      <w:sz w:val="20"/>
    </w:rPr>
  </w:style>
  <w:style w:type="paragraph" w:customStyle="1" w:styleId="Copertina-Autori">
    <w:name w:val="Copertina - Autori"/>
    <w:basedOn w:val="Normale"/>
    <w:qFormat/>
    <w:rsid w:val="00B96B24"/>
    <w:pPr>
      <w:spacing w:after="120"/>
    </w:pPr>
    <w:rPr>
      <w:rFonts w:eastAsia="Calibri" w:cs="Times New Roman (Corpo CS)"/>
      <w:b/>
      <w:bCs/>
      <w:color w:val="FFFFFF" w:themeColor="background1"/>
      <w:sz w:val="26"/>
      <w:szCs w:val="28"/>
    </w:rPr>
  </w:style>
  <w:style w:type="paragraph" w:customStyle="1" w:styleId="TitoloDocumento">
    <w:name w:val="Titolo Documento"/>
    <w:basedOn w:val="Normale"/>
    <w:qFormat/>
    <w:rsid w:val="00067324"/>
    <w:pPr>
      <w:autoSpaceDE w:val="0"/>
      <w:autoSpaceDN w:val="0"/>
      <w:adjustRightInd w:val="0"/>
      <w:spacing w:after="0" w:line="240" w:lineRule="auto"/>
    </w:pPr>
    <w:rPr>
      <w:rFonts w:ascii="Calibri" w:eastAsia="Calibri" w:hAnsi="Calibri" w:cs="Calibri"/>
      <w:b/>
      <w:smallCaps/>
      <w:color w:val="FFFFFF" w:themeColor="background1"/>
      <w:sz w:val="72"/>
      <w:szCs w:val="72"/>
    </w:rPr>
  </w:style>
  <w:style w:type="paragraph" w:customStyle="1" w:styleId="Titolononnumerato">
    <w:name w:val="Titolo non numerato"/>
    <w:basedOn w:val="Titolo1"/>
    <w:qFormat/>
    <w:rsid w:val="005601B4"/>
    <w:pPr>
      <w:numPr>
        <w:numId w:val="0"/>
      </w:numPr>
      <w:spacing w:before="600"/>
    </w:pPr>
    <w:rPr>
      <w:caps/>
    </w:rPr>
  </w:style>
  <w:style w:type="paragraph" w:styleId="Sommario4">
    <w:name w:val="toc 4"/>
    <w:basedOn w:val="Normale"/>
    <w:next w:val="Normale"/>
    <w:autoRedefine/>
    <w:uiPriority w:val="39"/>
    <w:unhideWhenUsed/>
    <w:rsid w:val="00F8628F"/>
    <w:pPr>
      <w:tabs>
        <w:tab w:val="left" w:pos="7938"/>
      </w:tabs>
      <w:spacing w:before="240" w:after="120" w:line="276" w:lineRule="auto"/>
    </w:pPr>
    <w:rPr>
      <w:rFonts w:cstheme="minorHAnsi"/>
      <w:b/>
      <w:smallCaps/>
      <w:szCs w:val="22"/>
    </w:rPr>
  </w:style>
  <w:style w:type="numbering" w:customStyle="1" w:styleId="Elencocorrente1">
    <w:name w:val="Elenco corrente1"/>
    <w:uiPriority w:val="99"/>
    <w:rsid w:val="00067324"/>
    <w:pPr>
      <w:numPr>
        <w:numId w:val="1"/>
      </w:numPr>
    </w:pPr>
  </w:style>
  <w:style w:type="paragraph" w:styleId="Sommario5">
    <w:name w:val="toc 5"/>
    <w:basedOn w:val="Normale"/>
    <w:next w:val="Normale"/>
    <w:autoRedefine/>
    <w:uiPriority w:val="39"/>
    <w:unhideWhenUsed/>
    <w:rsid w:val="00067324"/>
    <w:pPr>
      <w:spacing w:after="0"/>
    </w:pPr>
    <w:rPr>
      <w:rFonts w:cstheme="minorHAnsi"/>
      <w:szCs w:val="22"/>
    </w:rPr>
  </w:style>
  <w:style w:type="paragraph" w:styleId="Sommario6">
    <w:name w:val="toc 6"/>
    <w:basedOn w:val="Normale"/>
    <w:next w:val="Normale"/>
    <w:autoRedefine/>
    <w:uiPriority w:val="39"/>
    <w:unhideWhenUsed/>
    <w:rsid w:val="00067324"/>
    <w:pPr>
      <w:spacing w:after="0"/>
    </w:pPr>
    <w:rPr>
      <w:rFonts w:cstheme="minorHAnsi"/>
      <w:szCs w:val="22"/>
    </w:rPr>
  </w:style>
  <w:style w:type="paragraph" w:styleId="Sommario7">
    <w:name w:val="toc 7"/>
    <w:basedOn w:val="Normale"/>
    <w:next w:val="Normale"/>
    <w:autoRedefine/>
    <w:uiPriority w:val="39"/>
    <w:unhideWhenUsed/>
    <w:rsid w:val="00067324"/>
    <w:pPr>
      <w:spacing w:after="0"/>
    </w:pPr>
    <w:rPr>
      <w:rFonts w:cstheme="minorHAnsi"/>
      <w:szCs w:val="22"/>
    </w:rPr>
  </w:style>
  <w:style w:type="paragraph" w:styleId="Sommario8">
    <w:name w:val="toc 8"/>
    <w:basedOn w:val="Normale"/>
    <w:next w:val="Normale"/>
    <w:autoRedefine/>
    <w:uiPriority w:val="39"/>
    <w:unhideWhenUsed/>
    <w:rsid w:val="00067324"/>
    <w:pPr>
      <w:spacing w:after="0"/>
    </w:pPr>
    <w:rPr>
      <w:rFonts w:cstheme="minorHAnsi"/>
      <w:szCs w:val="22"/>
    </w:rPr>
  </w:style>
  <w:style w:type="paragraph" w:styleId="Sommario9">
    <w:name w:val="toc 9"/>
    <w:basedOn w:val="Normale"/>
    <w:next w:val="Normale"/>
    <w:autoRedefine/>
    <w:uiPriority w:val="39"/>
    <w:unhideWhenUsed/>
    <w:rsid w:val="00067324"/>
    <w:pPr>
      <w:spacing w:after="0"/>
    </w:pPr>
    <w:rPr>
      <w:rFonts w:cstheme="minorHAnsi"/>
      <w:szCs w:val="22"/>
    </w:rPr>
  </w:style>
  <w:style w:type="paragraph" w:styleId="NormaleWeb">
    <w:name w:val="Normal (Web)"/>
    <w:basedOn w:val="Normale"/>
    <w:uiPriority w:val="99"/>
    <w:semiHidden/>
    <w:unhideWhenUsed/>
    <w:rsid w:val="000673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unhideWhenUsed/>
    <w:rsid w:val="009731D1"/>
  </w:style>
  <w:style w:type="paragraph" w:styleId="Paragrafoelenco">
    <w:name w:val="List Paragraph"/>
    <w:basedOn w:val="Normale"/>
    <w:uiPriority w:val="34"/>
    <w:qFormat/>
    <w:rsid w:val="005601B4"/>
    <w:pPr>
      <w:spacing w:after="160" w:line="256" w:lineRule="auto"/>
      <w:ind w:left="720"/>
      <w:contextualSpacing/>
      <w:jc w:val="left"/>
    </w:pPr>
    <w:rPr>
      <w:rFonts w:eastAsiaTheme="minorHAnsi"/>
      <w:color w:val="auto"/>
      <w:szCs w:val="22"/>
    </w:rPr>
  </w:style>
  <w:style w:type="paragraph" w:styleId="Testocommento">
    <w:name w:val="annotation text"/>
    <w:basedOn w:val="Normale"/>
    <w:link w:val="TestocommentoCarattere"/>
    <w:uiPriority w:val="99"/>
    <w:unhideWhenUsed/>
    <w:rsid w:val="005601B4"/>
    <w:pPr>
      <w:spacing w:after="160" w:line="240" w:lineRule="auto"/>
      <w:jc w:val="left"/>
    </w:pPr>
    <w:rPr>
      <w:color w:val="auto"/>
      <w:sz w:val="20"/>
      <w:szCs w:val="20"/>
      <w:lang w:eastAsia="it-IT"/>
    </w:rPr>
  </w:style>
  <w:style w:type="character" w:customStyle="1" w:styleId="TestocommentoCarattere">
    <w:name w:val="Testo commento Carattere"/>
    <w:basedOn w:val="Carpredefinitoparagrafo"/>
    <w:link w:val="Testocommento"/>
    <w:uiPriority w:val="99"/>
    <w:rsid w:val="005601B4"/>
    <w:rPr>
      <w:sz w:val="20"/>
      <w:szCs w:val="20"/>
      <w:lang w:eastAsia="it-IT"/>
    </w:rPr>
  </w:style>
  <w:style w:type="character" w:styleId="Rimandocommento">
    <w:name w:val="annotation reference"/>
    <w:basedOn w:val="Carpredefinitoparagrafo"/>
    <w:uiPriority w:val="99"/>
    <w:semiHidden/>
    <w:unhideWhenUsed/>
    <w:rsid w:val="005601B4"/>
    <w:rPr>
      <w:sz w:val="16"/>
      <w:szCs w:val="16"/>
    </w:rPr>
  </w:style>
  <w:style w:type="paragraph" w:styleId="Testofumetto">
    <w:name w:val="Balloon Text"/>
    <w:basedOn w:val="Normale"/>
    <w:link w:val="TestofumettoCarattere"/>
    <w:uiPriority w:val="99"/>
    <w:semiHidden/>
    <w:unhideWhenUsed/>
    <w:rsid w:val="00944B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4B2E"/>
    <w:rPr>
      <w:rFonts w:ascii="Tahoma" w:hAnsi="Tahoma" w:cs="Tahoma"/>
      <w:color w:val="404040" w:themeColor="text1" w:themeTint="BF"/>
      <w:sz w:val="16"/>
      <w:szCs w:val="16"/>
    </w:rPr>
  </w:style>
  <w:style w:type="paragraph" w:styleId="Revisione">
    <w:name w:val="Revision"/>
    <w:hidden/>
    <w:uiPriority w:val="99"/>
    <w:semiHidden/>
    <w:rsid w:val="00C31807"/>
    <w:pPr>
      <w:spacing w:after="0" w:line="240" w:lineRule="auto"/>
    </w:pPr>
    <w:rPr>
      <w:color w:val="404040" w:themeColor="text1" w:themeTint="BF"/>
      <w:sz w:val="22"/>
    </w:rPr>
  </w:style>
  <w:style w:type="character" w:styleId="Menzionenonrisolta">
    <w:name w:val="Unresolved Mention"/>
    <w:basedOn w:val="Carpredefinitoparagrafo"/>
    <w:uiPriority w:val="99"/>
    <w:semiHidden/>
    <w:unhideWhenUsed/>
    <w:rsid w:val="00745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42092">
      <w:bodyDiv w:val="1"/>
      <w:marLeft w:val="0"/>
      <w:marRight w:val="0"/>
      <w:marTop w:val="0"/>
      <w:marBottom w:val="0"/>
      <w:divBdr>
        <w:top w:val="none" w:sz="0" w:space="0" w:color="auto"/>
        <w:left w:val="none" w:sz="0" w:space="0" w:color="auto"/>
        <w:bottom w:val="none" w:sz="0" w:space="0" w:color="auto"/>
        <w:right w:val="none" w:sz="0" w:space="0" w:color="auto"/>
      </w:divBdr>
    </w:div>
    <w:div w:id="273100637">
      <w:bodyDiv w:val="1"/>
      <w:marLeft w:val="0"/>
      <w:marRight w:val="0"/>
      <w:marTop w:val="0"/>
      <w:marBottom w:val="0"/>
      <w:divBdr>
        <w:top w:val="none" w:sz="0" w:space="0" w:color="auto"/>
        <w:left w:val="none" w:sz="0" w:space="0" w:color="auto"/>
        <w:bottom w:val="none" w:sz="0" w:space="0" w:color="auto"/>
        <w:right w:val="none" w:sz="0" w:space="0" w:color="auto"/>
      </w:divBdr>
    </w:div>
    <w:div w:id="300355298">
      <w:bodyDiv w:val="1"/>
      <w:marLeft w:val="0"/>
      <w:marRight w:val="0"/>
      <w:marTop w:val="0"/>
      <w:marBottom w:val="0"/>
      <w:divBdr>
        <w:top w:val="none" w:sz="0" w:space="0" w:color="auto"/>
        <w:left w:val="none" w:sz="0" w:space="0" w:color="auto"/>
        <w:bottom w:val="none" w:sz="0" w:space="0" w:color="auto"/>
        <w:right w:val="none" w:sz="0" w:space="0" w:color="auto"/>
      </w:divBdr>
    </w:div>
    <w:div w:id="414673032">
      <w:bodyDiv w:val="1"/>
      <w:marLeft w:val="0"/>
      <w:marRight w:val="0"/>
      <w:marTop w:val="0"/>
      <w:marBottom w:val="0"/>
      <w:divBdr>
        <w:top w:val="none" w:sz="0" w:space="0" w:color="auto"/>
        <w:left w:val="none" w:sz="0" w:space="0" w:color="auto"/>
        <w:bottom w:val="none" w:sz="0" w:space="0" w:color="auto"/>
        <w:right w:val="none" w:sz="0" w:space="0" w:color="auto"/>
      </w:divBdr>
    </w:div>
    <w:div w:id="505096686">
      <w:bodyDiv w:val="1"/>
      <w:marLeft w:val="0"/>
      <w:marRight w:val="0"/>
      <w:marTop w:val="0"/>
      <w:marBottom w:val="0"/>
      <w:divBdr>
        <w:top w:val="none" w:sz="0" w:space="0" w:color="auto"/>
        <w:left w:val="none" w:sz="0" w:space="0" w:color="auto"/>
        <w:bottom w:val="none" w:sz="0" w:space="0" w:color="auto"/>
        <w:right w:val="none" w:sz="0" w:space="0" w:color="auto"/>
      </w:divBdr>
    </w:div>
    <w:div w:id="1333875598">
      <w:bodyDiv w:val="1"/>
      <w:marLeft w:val="0"/>
      <w:marRight w:val="0"/>
      <w:marTop w:val="0"/>
      <w:marBottom w:val="0"/>
      <w:divBdr>
        <w:top w:val="none" w:sz="0" w:space="0" w:color="auto"/>
        <w:left w:val="none" w:sz="0" w:space="0" w:color="auto"/>
        <w:bottom w:val="none" w:sz="0" w:space="0" w:color="auto"/>
        <w:right w:val="none" w:sz="0" w:space="0" w:color="auto"/>
      </w:divBdr>
    </w:div>
    <w:div w:id="195967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F16C-294D-4566-BAA6-BE85F743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8</Pages>
  <Words>2503</Words>
  <Characters>14271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D'Elia</dc:creator>
  <cp:keywords/>
  <dc:description/>
  <cp:lastModifiedBy>Anna De Toni</cp:lastModifiedBy>
  <cp:revision>38</cp:revision>
  <cp:lastPrinted>2023-04-19T15:40:00Z</cp:lastPrinted>
  <dcterms:created xsi:type="dcterms:W3CDTF">2023-07-28T06:55:00Z</dcterms:created>
  <dcterms:modified xsi:type="dcterms:W3CDTF">2024-11-07T05:19:00Z</dcterms:modified>
</cp:coreProperties>
</file>